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A1" w:rsidRDefault="00B444A1" w:rsidP="00B44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"/>
        <w:gridCol w:w="1703"/>
        <w:gridCol w:w="7229"/>
        <w:gridCol w:w="1276"/>
        <w:gridCol w:w="992"/>
        <w:gridCol w:w="1985"/>
        <w:gridCol w:w="2131"/>
      </w:tblGrid>
      <w:tr w:rsidR="00B444A1" w:rsidTr="0034230E">
        <w:trPr>
          <w:trHeight w:val="154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</w:pPr>
          </w:p>
        </w:tc>
        <w:tc>
          <w:tcPr>
            <w:tcW w:w="15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  <w:sz w:val="20"/>
                <w:szCs w:val="20"/>
              </w:rPr>
              <w:t>Programa académico</w:t>
            </w:r>
          </w:p>
          <w:p w:rsidR="00B444A1" w:rsidRDefault="00B444A1" w:rsidP="00B444A1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</w:pPr>
          </w:p>
        </w:tc>
      </w:tr>
      <w:tr w:rsidR="00B444A1" w:rsidTr="0034230E">
        <w:tc>
          <w:tcPr>
            <w:tcW w:w="1945" w:type="dxa"/>
            <w:gridSpan w:val="2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Módulo </w:t>
            </w:r>
          </w:p>
        </w:tc>
        <w:tc>
          <w:tcPr>
            <w:tcW w:w="7229" w:type="dxa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Asignatura / Curso</w:t>
            </w: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Optatividad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ECTS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Competencias 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bookmark=id.1fob9te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Resultados del aprendizaje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bookmarkStart w:id="1" w:name="bookmark=id.35nkun2" w:colFirst="0" w:colLast="0"/>
            <w:bookmarkEnd w:id="1"/>
            <w:r>
              <w:rPr>
                <w:rFonts w:ascii="Arial Narrow" w:eastAsia="Arial Narrow" w:hAnsi="Arial Narrow" w:cs="Arial Narrow"/>
              </w:rPr>
              <w:t>Paz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" w:name="bookmark=id.1ksv4uv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</w:rPr>
              <w:t>Paz, seguridad y conflictos  </w:t>
            </w: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1   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CE1, </w:t>
            </w:r>
            <w:bookmarkStart w:id="3" w:name="bookmark=id.44sinio" w:colFirst="0" w:colLast="0"/>
            <w:bookmarkEnd w:id="3"/>
            <w:r>
              <w:rPr>
                <w:rFonts w:ascii="Arial Narrow" w:eastAsia="Arial Narrow" w:hAnsi="Arial Narrow" w:cs="Arial Narrow"/>
              </w:rPr>
              <w:t>CE2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RA1, RA2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 w:rsidRPr="00C85644">
              <w:rPr>
                <w:rFonts w:ascii="Arial Narrow" w:eastAsia="Arial Narrow" w:hAnsi="Arial Narrow" w:cs="Arial Narrow"/>
                <w:color w:val="FF0000"/>
              </w:rPr>
              <w:t>Personas</w:t>
            </w: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Formación en igualdad frente a la violencia de género</w:t>
            </w:r>
          </w:p>
          <w:p w:rsidR="00B444A1" w:rsidRDefault="00B444A1" w:rsidP="00342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1 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CE4, CE5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RA4, RA5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 w:rsidRPr="00C85644">
              <w:rPr>
                <w:rFonts w:ascii="Arial Narrow" w:eastAsia="Arial Narrow" w:hAnsi="Arial Narrow" w:cs="Arial Narrow"/>
                <w:color w:val="FF0000"/>
              </w:rPr>
              <w:t>Personas</w:t>
            </w: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Diversidad sexual, corporal y genérica: conceptualización, contextualización y debate</w:t>
            </w:r>
          </w:p>
          <w:p w:rsidR="00B444A1" w:rsidRDefault="00B444A1" w:rsidP="00342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CE5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RA5   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 w:rsidRPr="00C85644">
              <w:rPr>
                <w:rFonts w:ascii="Arial Narrow" w:eastAsia="Arial Narrow" w:hAnsi="Arial Narrow" w:cs="Arial Narrow"/>
                <w:color w:val="FF0000"/>
              </w:rPr>
              <w:t>Personas</w:t>
            </w: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Nuevas masculinidades y cambio social</w:t>
            </w:r>
          </w:p>
          <w:p w:rsidR="00B444A1" w:rsidRDefault="00B444A1" w:rsidP="00342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1 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CE4, CE5  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RA4, RA5 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B050"/>
              </w:rPr>
            </w:pPr>
            <w:r w:rsidRPr="00C85644">
              <w:rPr>
                <w:rFonts w:ascii="Arial Narrow" w:eastAsia="Arial Narrow" w:hAnsi="Arial Narrow" w:cs="Arial Narrow"/>
                <w:color w:val="00B050"/>
              </w:rPr>
              <w:t>Planeta</w:t>
            </w: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4" w:name="_heading=h.gjdgxs" w:colFirst="0" w:colLast="0"/>
            <w:bookmarkEnd w:id="4"/>
            <w:r>
              <w:rPr>
                <w:rFonts w:ascii="Arial Narrow" w:eastAsia="Arial Narrow" w:hAnsi="Arial Narrow" w:cs="Arial Narrow"/>
                <w:color w:val="000000"/>
              </w:rPr>
              <w:t>Curso de introducción a la educación y voluntariado ambiental</w:t>
            </w:r>
          </w:p>
          <w:p w:rsidR="00B444A1" w:rsidRDefault="00B444A1" w:rsidP="00342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1.5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CE3, CE7, CE8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RA3, RA7, RA8  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B050"/>
              </w:rPr>
            </w:pPr>
            <w:r w:rsidRPr="00C85644">
              <w:rPr>
                <w:rFonts w:ascii="Arial Narrow" w:eastAsia="Arial Narrow" w:hAnsi="Arial Narrow" w:cs="Arial Narrow"/>
                <w:color w:val="00B050"/>
              </w:rPr>
              <w:t>Planeta</w:t>
            </w:r>
          </w:p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B050"/>
              </w:rPr>
            </w:pPr>
          </w:p>
        </w:tc>
        <w:tc>
          <w:tcPr>
            <w:tcW w:w="7229" w:type="dxa"/>
          </w:tcPr>
          <w:p w:rsidR="00B444A1" w:rsidRPr="007B6235" w:rsidRDefault="00B444A1" w:rsidP="00B444A1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Curso “Ecohuerto. Voluntariado Ambiental”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CE7, CE8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RA7, RA8   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B050"/>
              </w:rPr>
            </w:pPr>
            <w:r w:rsidRPr="00C85644">
              <w:rPr>
                <w:rFonts w:ascii="Arial Narrow" w:eastAsia="Arial Narrow" w:hAnsi="Arial Narrow" w:cs="Arial Narrow"/>
                <w:color w:val="00B050"/>
              </w:rPr>
              <w:t>Planeta</w:t>
            </w: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Taller de sensibilización ambiental 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1.5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CE7, CE8     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RA7, RA8       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  <w:r w:rsidRPr="00C85644">
              <w:rPr>
                <w:rFonts w:ascii="Arial Narrow" w:eastAsia="Arial Narrow" w:hAnsi="Arial Narrow" w:cs="Arial Narrow"/>
                <w:color w:val="0000FF"/>
              </w:rPr>
              <w:t>Prosperidad</w:t>
            </w: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Curso de Movilidad Sostenible</w:t>
            </w:r>
          </w:p>
          <w:p w:rsidR="00B444A1" w:rsidRDefault="00B444A1" w:rsidP="00342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CE9, CE10     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RA9, RA10       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  <w:r w:rsidRPr="00C85644">
              <w:rPr>
                <w:rFonts w:ascii="Arial Narrow" w:eastAsia="Arial Narrow" w:hAnsi="Arial Narrow" w:cs="Arial Narrow"/>
                <w:color w:val="0000FF"/>
              </w:rPr>
              <w:t>Prosperidad</w:t>
            </w: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Economía del Bien Común</w:t>
            </w:r>
          </w:p>
          <w:p w:rsidR="00B444A1" w:rsidRDefault="00B444A1" w:rsidP="00342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CE8, CE11   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RA8, RA11       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C85644">
              <w:rPr>
                <w:rFonts w:ascii="Arial Narrow" w:eastAsia="Arial Narrow" w:hAnsi="Arial Narrow" w:cs="Arial Narrow"/>
                <w:color w:val="00B050"/>
              </w:rPr>
              <w:t>Planeta</w:t>
            </w: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Curso de “Los residuos y su reciclaje: gestión y educación ambiental”</w:t>
            </w:r>
          </w:p>
          <w:p w:rsidR="00B444A1" w:rsidRDefault="00B444A1" w:rsidP="00342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CE7, CE8  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RA7, RA8       </w:t>
            </w:r>
          </w:p>
        </w:tc>
      </w:tr>
      <w:tr w:rsidR="00B444A1" w:rsidTr="0034230E">
        <w:trPr>
          <w:trHeight w:val="598"/>
        </w:trPr>
        <w:tc>
          <w:tcPr>
            <w:tcW w:w="1945" w:type="dxa"/>
            <w:gridSpan w:val="2"/>
          </w:tcPr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 w:rsidRPr="00C85644">
              <w:rPr>
                <w:rFonts w:ascii="Arial Narrow" w:eastAsia="Arial Narrow" w:hAnsi="Arial Narrow" w:cs="Arial Narrow"/>
                <w:color w:val="FF0000"/>
              </w:rPr>
              <w:t>Personas</w:t>
            </w: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Estilo de vida saludable y bienestar</w:t>
            </w: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CE6     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RA6     </w:t>
            </w:r>
          </w:p>
        </w:tc>
      </w:tr>
      <w:tr w:rsidR="00B444A1" w:rsidTr="0034230E">
        <w:trPr>
          <w:trHeight w:val="579"/>
        </w:trPr>
        <w:tc>
          <w:tcPr>
            <w:tcW w:w="1945" w:type="dxa"/>
            <w:gridSpan w:val="2"/>
          </w:tcPr>
          <w:p w:rsidR="00B444A1" w:rsidRPr="00C85644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 w:rsidRPr="00C85644">
              <w:rPr>
                <w:rFonts w:ascii="Arial Narrow" w:eastAsia="Arial Narrow" w:hAnsi="Arial Narrow" w:cs="Arial Narrow"/>
                <w:color w:val="FF0000"/>
              </w:rPr>
              <w:t>Personas</w:t>
            </w: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Bienestar físico, psicológico y social  </w:t>
            </w:r>
          </w:p>
          <w:p w:rsidR="00B444A1" w:rsidRDefault="00B444A1" w:rsidP="00342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2 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CE6     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RA6 </w:t>
            </w:r>
            <w:r>
              <w:rPr>
                <w:rFonts w:ascii="Arial Narrow" w:eastAsia="Arial Narrow" w:hAnsi="Arial Narrow" w:cs="Arial Narrow"/>
                <w:b/>
              </w:rPr>
              <w:t>  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Paz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B444A1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Jornada de Iniciación al Voluntariado</w:t>
            </w: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CE3   </w:t>
            </w:r>
            <w:r>
              <w:rPr>
                <w:rFonts w:ascii="Arial Narrow" w:eastAsia="Arial Narrow" w:hAnsi="Arial Narrow" w:cs="Arial Narrow"/>
                <w:b/>
              </w:rPr>
              <w:t>  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RA3 </w:t>
            </w:r>
            <w:r>
              <w:rPr>
                <w:rFonts w:ascii="Arial Narrow" w:eastAsia="Arial Narrow" w:hAnsi="Arial Narrow" w:cs="Arial Narrow"/>
                <w:b/>
              </w:rPr>
              <w:t>    </w:t>
            </w:r>
          </w:p>
        </w:tc>
      </w:tr>
      <w:tr w:rsidR="00B444A1" w:rsidTr="0034230E">
        <w:tc>
          <w:tcPr>
            <w:tcW w:w="1945" w:type="dxa"/>
            <w:gridSpan w:val="2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Paz</w:t>
            </w:r>
          </w:p>
        </w:tc>
        <w:tc>
          <w:tcPr>
            <w:tcW w:w="7229" w:type="dxa"/>
          </w:tcPr>
          <w:p w:rsidR="00B444A1" w:rsidRPr="007B6235" w:rsidRDefault="00B444A1" w:rsidP="00B444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Jornada de Voluntariado y TIC</w:t>
            </w:r>
          </w:p>
        </w:tc>
        <w:tc>
          <w:tcPr>
            <w:tcW w:w="1276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</w:tcPr>
          <w:p w:rsidR="00B444A1" w:rsidRPr="007B6235" w:rsidRDefault="00B444A1" w:rsidP="0034230E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  <w:r w:rsidRPr="007B6235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985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CE1, CE3 </w:t>
            </w:r>
            <w:r>
              <w:rPr>
                <w:rFonts w:ascii="Arial Narrow" w:eastAsia="Arial Narrow" w:hAnsi="Arial Narrow" w:cs="Arial Narrow"/>
                <w:b/>
              </w:rPr>
              <w:t>  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RA1, RA3 </w:t>
            </w:r>
            <w:r>
              <w:rPr>
                <w:rFonts w:ascii="Arial Narrow" w:eastAsia="Arial Narrow" w:hAnsi="Arial Narrow" w:cs="Arial Narrow"/>
                <w:b/>
              </w:rPr>
              <w:t>    </w:t>
            </w:r>
          </w:p>
        </w:tc>
      </w:tr>
      <w:tr w:rsidR="00B444A1" w:rsidTr="0034230E">
        <w:tc>
          <w:tcPr>
            <w:tcW w:w="13427" w:type="dxa"/>
            <w:gridSpan w:val="6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Créditos totales ofertados (se irán ampliando progresivamente cada cuatrimestre)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Para la obtención del título el alumnado tiene que cursar obligatoriamente el curso que se ofrece dentro de la línea Académico-Profesional de los cursos transversales denominado: Sostenibilidad Ambiental: Nuestro Objetivo. 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el primer cuatrimestre del curso 21-22 se ofertan los siguientes cursos optativos: 5, 6, 10, 13 y 14.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7.5</w:t>
            </w:r>
          </w:p>
        </w:tc>
      </w:tr>
      <w:tr w:rsidR="00B444A1" w:rsidTr="0034230E">
        <w:tc>
          <w:tcPr>
            <w:tcW w:w="13427" w:type="dxa"/>
            <w:gridSpan w:val="6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de créditos necesarios para la obtención del título     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período máximo para poder obtener el título es de 4 cursos académicos contando a partir de la fecha del primer curso cursado. 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</w:t>
            </w:r>
            <w:r>
              <w:rPr>
                <w:rFonts w:ascii="Arial Narrow" w:eastAsia="Arial Narrow" w:hAnsi="Arial Narrow" w:cs="Arial Narrow"/>
              </w:rPr>
              <w:t xml:space="preserve">        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B444A1" w:rsidTr="0034230E">
        <w:tc>
          <w:tcPr>
            <w:tcW w:w="13427" w:type="dxa"/>
            <w:gridSpan w:val="6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de créditos necesarios para la obtención de un itinerario  </w:t>
            </w: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B444A1" w:rsidTr="0034230E">
        <w:tc>
          <w:tcPr>
            <w:tcW w:w="13427" w:type="dxa"/>
            <w:gridSpan w:val="6"/>
          </w:tcPr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Itinerarios del título   </w:t>
            </w:r>
            <w:r>
              <w:rPr>
                <w:rFonts w:ascii="Arial Narrow" w:eastAsia="Arial Narrow" w:hAnsi="Arial Narrow" w:cs="Arial Narrow"/>
              </w:rPr>
              <w:t xml:space="preserve">Los itinerarios del Título son los siguientes: Personas, Planeta, Prosperidad y Paz. 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6E53A4">
              <w:rPr>
                <w:rFonts w:ascii="Arial Narrow" w:eastAsia="Arial Narrow" w:hAnsi="Arial Narrow" w:cs="Arial Narrow"/>
                <w:u w:val="single"/>
              </w:rPr>
              <w:t>El itinerario de Personas</w:t>
            </w:r>
            <w:r>
              <w:rPr>
                <w:rFonts w:ascii="Arial Narrow" w:eastAsia="Arial Narrow" w:hAnsi="Arial Narrow" w:cs="Arial Narrow"/>
              </w:rPr>
              <w:t xml:space="preserve"> incluirá los cursos 2, 3, 4, 11 y 12, de los cuales no se ofrece ninguno en el primer cuatrimestre del curso 21-22. Este itinerario pretende dar cabida a los ODS Fin de la Pobreza, Hambre Cero, Salud y Bienestar, Educación de Calidad e Igualdad de Género. 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A15982">
              <w:rPr>
                <w:rFonts w:ascii="Arial Narrow" w:eastAsia="Arial Narrow" w:hAnsi="Arial Narrow" w:cs="Arial Narrow"/>
                <w:u w:val="single"/>
              </w:rPr>
              <w:t>El itinerario de Planeta</w:t>
            </w:r>
            <w:r>
              <w:rPr>
                <w:rFonts w:ascii="Arial Narrow" w:eastAsia="Arial Narrow" w:hAnsi="Arial Narrow" w:cs="Arial Narrow"/>
              </w:rPr>
              <w:t xml:space="preserve"> incluirá los cursos 5, 6, 7 y 10, de los cuales se ofrecen los dos primeros y el cuarto en el primer cuatrimestre del curso 21-22. Este itinerario abarca temáticas relacionadas con los ODS Agua Potable y Saneamiento, Consumo Responsable, Lucha contra el Cambio Climático, Flora y Fauna Acuáticas y Flora y Fauna Terrestres. 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A15982">
              <w:rPr>
                <w:rFonts w:ascii="Arial Narrow" w:eastAsia="Arial Narrow" w:hAnsi="Arial Narrow" w:cs="Arial Narrow"/>
                <w:u w:val="single"/>
              </w:rPr>
              <w:t>El itinerario de Prosperidad</w:t>
            </w:r>
            <w:r>
              <w:rPr>
                <w:rFonts w:ascii="Arial Narrow" w:eastAsia="Arial Narrow" w:hAnsi="Arial Narrow" w:cs="Arial Narrow"/>
              </w:rPr>
              <w:t xml:space="preserve"> incluirá los cursos 8 y 9, de los cuales no se ofrece ninguno en el primer cuatrimestre del curso 21-22.Este itinerario se centra en los ODS Energías Renovables, Trabajo Decente y Crecimiento Económico, Innovación e Infraestructura, Reducción de las Desigualdades y Ciudades y Comunidades Sostenibles. 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A15982">
              <w:rPr>
                <w:rFonts w:ascii="Arial Narrow" w:eastAsia="Arial Narrow" w:hAnsi="Arial Narrow" w:cs="Arial Narrow"/>
                <w:u w:val="single"/>
              </w:rPr>
              <w:t>El itinerario de Paz</w:t>
            </w:r>
            <w:r>
              <w:rPr>
                <w:rFonts w:ascii="Arial Narrow" w:eastAsia="Arial Narrow" w:hAnsi="Arial Narrow" w:cs="Arial Narrow"/>
              </w:rPr>
              <w:t xml:space="preserve"> incluirá los cursos 1, 13 y 14, de los cuales se ofrecen los dos últimos en el primer cuatrimestre del curso 21-22. Su foco de interés se sitúa en torno al ODS Paz y Justicia. </w:t>
            </w:r>
          </w:p>
          <w:p w:rsidR="00B444A1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31" w:type="dxa"/>
          </w:tcPr>
          <w:p w:rsidR="00B444A1" w:rsidRDefault="00B444A1" w:rsidP="0034230E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B444A1" w:rsidTr="00D3583F">
        <w:trPr>
          <w:trHeight w:val="2151"/>
        </w:trPr>
        <w:tc>
          <w:tcPr>
            <w:tcW w:w="15558" w:type="dxa"/>
            <w:gridSpan w:val="7"/>
          </w:tcPr>
          <w:p w:rsidR="00B444A1" w:rsidRPr="007F176B" w:rsidRDefault="00B444A1" w:rsidP="0034230E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C04A60">
              <w:rPr>
                <w:rFonts w:ascii="Arial Narrow" w:eastAsia="Arial Narrow" w:hAnsi="Arial Narrow" w:cs="Arial Narrow"/>
              </w:rPr>
              <w:t>Otra información de interés sobre la programación, en su caso: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B444A1" w:rsidRDefault="00B444A1" w:rsidP="00C04A6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Todas las asignaturas incluidas en el programa académico tienen carácter optativo.</w:t>
            </w:r>
            <w:r w:rsidR="00C04A60" w:rsidRPr="00C04A60">
              <w:rPr>
                <w:rFonts w:ascii="Arial Narrow" w:eastAsia="Arial Narrow" w:hAnsi="Arial Narrow" w:cs="Arial Narrow"/>
              </w:rPr>
              <w:t xml:space="preserve"> </w:t>
            </w:r>
            <w:r w:rsidR="00C04A60" w:rsidRPr="00C04A60">
              <w:rPr>
                <w:rFonts w:ascii="Arial Narrow" w:eastAsia="Arial Narrow" w:hAnsi="Arial Narrow" w:cs="Arial Narrow"/>
              </w:rPr>
              <w:t>Todas las asignaturas incluidas en el programa académico</w:t>
            </w:r>
            <w:r w:rsidR="00C04A60" w:rsidRPr="00C04A60">
              <w:rPr>
                <w:rFonts w:ascii="Arial Narrow" w:eastAsia="Arial Narrow" w:hAnsi="Arial Narrow" w:cs="Arial Narrow"/>
              </w:rPr>
              <w:t xml:space="preserve"> </w:t>
            </w:r>
            <w:r w:rsidR="00C04A60" w:rsidRPr="00C04A60">
              <w:rPr>
                <w:rFonts w:ascii="Arial Narrow" w:eastAsia="Arial Narrow" w:hAnsi="Arial Narrow" w:cs="Arial Narrow"/>
              </w:rPr>
              <w:t>tienen carácter optativo. Para obtener el título, el estudiantado tendrá que cursar un mínimo</w:t>
            </w:r>
            <w:r w:rsidR="00C04A60" w:rsidRPr="00C04A60">
              <w:rPr>
                <w:rFonts w:ascii="Arial Narrow" w:eastAsia="Arial Narrow" w:hAnsi="Arial Narrow" w:cs="Arial Narrow"/>
              </w:rPr>
              <w:t xml:space="preserve"> </w:t>
            </w:r>
            <w:r w:rsidR="00C04A60" w:rsidRPr="00C04A60">
              <w:rPr>
                <w:rFonts w:ascii="Arial Narrow" w:eastAsia="Arial Narrow" w:hAnsi="Arial Narrow" w:cs="Arial Narrow"/>
              </w:rPr>
              <w:t>de 6 créditos, de entre las actividades/asignaturas ofrecidas o convalidadas dentro del</w:t>
            </w:r>
            <w:r w:rsidR="00C04A60" w:rsidRPr="00C04A60">
              <w:rPr>
                <w:rFonts w:ascii="Arial Narrow" w:eastAsia="Arial Narrow" w:hAnsi="Arial Narrow" w:cs="Arial Narrow"/>
              </w:rPr>
              <w:t xml:space="preserve"> </w:t>
            </w:r>
            <w:r w:rsidR="00C04A60" w:rsidRPr="00C04A60">
              <w:rPr>
                <w:rFonts w:ascii="Arial Narrow" w:eastAsia="Arial Narrow" w:hAnsi="Arial Narrow" w:cs="Arial Narrow"/>
              </w:rPr>
              <w:t>Diploma</w:t>
            </w:r>
            <w:r>
              <w:rPr>
                <w:rFonts w:ascii="Arial Narrow" w:eastAsia="Arial Narrow" w:hAnsi="Arial Narrow" w:cs="Arial Narrow"/>
              </w:rPr>
              <w:t xml:space="preserve"> Se convalidarán cursos o talleres promovidos por Vicerrectorados, Departamentos y/o Centros de la UJA siempre que dichos cursos o talleres hayan versado sobre temáticas relacionadas con los ODS, en ellos se haya entregado un diploma de aprovechamiento, y tras su realización puedan alcanzarse las competencias determinadas para tal fin en el título e itinerario correspondiente. </w:t>
            </w:r>
          </w:p>
          <w:p w:rsidR="00B444A1" w:rsidRDefault="00B444A1" w:rsidP="00B444A1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Si el título se extingue, el estudiantado dispondrá de dos cursos académicos (a partir del curso siguiente al de la extinción del título) para obtener el título. Este podrá obtenerse a partir de la convalidación de cursos, actividades o talleres que se hallan realizado o vayan a realizarse, centrados en temáticas relacionadas con los ODS, y promovidos por Vicerrectorados, Departamentos y/o Centros de la UJA. </w:t>
            </w:r>
          </w:p>
        </w:tc>
      </w:tr>
    </w:tbl>
    <w:p w:rsidR="00B444A1" w:rsidRDefault="00B444A1" w:rsidP="00B444A1">
      <w:pPr>
        <w:ind w:leftChars="0" w:left="0" w:firstLineChars="0" w:firstLine="0"/>
        <w:jc w:val="both"/>
        <w:rPr>
          <w:rFonts w:ascii="Arial Narrow" w:eastAsia="Arial Narrow" w:hAnsi="Arial Narrow" w:cs="Arial Narrow"/>
        </w:rPr>
        <w:sectPr w:rsidR="00B444A1">
          <w:headerReference w:type="first" r:id="rId7"/>
          <w:pgSz w:w="16838" w:h="11906" w:orient="landscape"/>
          <w:pgMar w:top="1035" w:right="720" w:bottom="720" w:left="720" w:header="0" w:footer="708" w:gutter="0"/>
          <w:cols w:space="720"/>
          <w:titlePg/>
        </w:sectPr>
      </w:pPr>
      <w:bookmarkStart w:id="5" w:name="_GoBack"/>
      <w:bookmarkEnd w:id="5"/>
    </w:p>
    <w:p w:rsidR="00A5202D" w:rsidRDefault="00A5202D" w:rsidP="00C04A60">
      <w:pPr>
        <w:ind w:leftChars="0" w:left="0" w:firstLineChars="0" w:firstLine="0"/>
      </w:pPr>
    </w:p>
    <w:sectPr w:rsidR="00A5202D" w:rsidSect="00B444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ED" w:rsidRDefault="00BD5AED">
      <w:pPr>
        <w:spacing w:line="240" w:lineRule="auto"/>
        <w:ind w:left="0" w:hanging="2"/>
      </w:pPr>
      <w:r>
        <w:separator/>
      </w:r>
    </w:p>
  </w:endnote>
  <w:endnote w:type="continuationSeparator" w:id="0">
    <w:p w:rsidR="00BD5AED" w:rsidRDefault="00BD5A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ED" w:rsidRDefault="00BD5AED">
      <w:pPr>
        <w:spacing w:line="240" w:lineRule="auto"/>
        <w:ind w:left="0" w:hanging="2"/>
      </w:pPr>
      <w:r>
        <w:separator/>
      </w:r>
    </w:p>
  </w:footnote>
  <w:footnote w:type="continuationSeparator" w:id="0">
    <w:p w:rsidR="00BD5AED" w:rsidRDefault="00BD5A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82" w:rsidRDefault="00BD5AED">
    <w:pPr>
      <w:keepNext/>
      <w:ind w:left="0" w:hanging="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1BD"/>
    <w:multiLevelType w:val="multilevel"/>
    <w:tmpl w:val="A1E07F1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1"/>
    <w:rsid w:val="00377CAE"/>
    <w:rsid w:val="00A5202D"/>
    <w:rsid w:val="00B444A1"/>
    <w:rsid w:val="00BD5AED"/>
    <w:rsid w:val="00C04A60"/>
    <w:rsid w:val="00D3583F"/>
    <w:rsid w:val="00F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79F6"/>
  <w15:chartTrackingRefBased/>
  <w15:docId w15:val="{76BA3BD3-6703-4FFD-BB9C-750BA33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A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B444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3F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García León</dc:creator>
  <cp:keywords/>
  <dc:description/>
  <cp:lastModifiedBy>UJA</cp:lastModifiedBy>
  <cp:revision>3</cp:revision>
  <cp:lastPrinted>2021-07-16T16:27:00Z</cp:lastPrinted>
  <dcterms:created xsi:type="dcterms:W3CDTF">2021-07-19T07:04:00Z</dcterms:created>
  <dcterms:modified xsi:type="dcterms:W3CDTF">2023-02-23T14:10:00Z</dcterms:modified>
</cp:coreProperties>
</file>