
<file path=[Content_Types].xml><?xml version="1.0" encoding="utf-8"?>
<Types xmlns="http://schemas.openxmlformats.org/package/2006/content-types">
  <Override PartName="/_rels/.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theme/theme1.xml" ContentType="application/vnd.openxmlformats-officedocument.theme+xml"/>
  <Override PartName="/word/document.xml" ContentType="application/vnd.openxmlformats-officedocument.wordprocessingml.document.main+xml"/>
  <Override PartName="/word/media/image3.png" ContentType="image/png"/>
  <Override PartName="/word/media/image1.png" ContentType="image/png"/>
  <Override PartName="/word/media/image2.png" ContentType="image/png"/>
  <Override PartName="/word/header1.xml" ContentType="application/vnd.openxmlformats-officedocument.wordprocessingml.header+xml"/>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Default"/>
        <w:spacing w:lineRule="auto" w:line="288" w:before="0" w:after="0"/>
        <w:jc w:val="right"/>
        <w:rPr>
          <w:rFonts w:ascii="Cambria" w:hAnsi="Cambria"/>
          <w:color w:val="1B1B1B"/>
          <w:sz w:val="28"/>
          <w:szCs w:val="28"/>
        </w:rPr>
      </w:pPr>
      <w:r>
        <w:rPr>
          <w:rFonts w:ascii="Cambria" w:hAnsi="Cambria"/>
          <w:color w:val="1B1B1B"/>
          <w:sz w:val="28"/>
          <w:szCs w:val="28"/>
        </w:rPr>
      </w:r>
    </w:p>
    <w:p>
      <w:pPr>
        <w:pStyle w:val="Default"/>
        <w:spacing w:lineRule="auto" w:line="288" w:before="0" w:after="0"/>
        <w:jc w:val="center"/>
        <w:rPr>
          <w:rFonts w:ascii="Cambria" w:hAnsi="Cambria"/>
          <w:b/>
          <w:b/>
          <w:color w:val="1B1B1B"/>
          <w:sz w:val="28"/>
          <w:szCs w:val="28"/>
        </w:rPr>
      </w:pPr>
      <w:r>
        <w:rPr>
          <w:rFonts w:ascii="Cambria" w:hAnsi="Cambria"/>
          <w:b/>
          <w:color w:val="1B1B1B"/>
          <w:sz w:val="28"/>
          <w:szCs w:val="28"/>
        </w:rPr>
        <w:t>Indian Council for Cultural Relations announces</w:t>
      </w:r>
    </w:p>
    <w:p>
      <w:pPr>
        <w:pStyle w:val="Default"/>
        <w:spacing w:lineRule="auto" w:line="288" w:before="0" w:after="0"/>
        <w:jc w:val="center"/>
        <w:rPr>
          <w:rFonts w:ascii="Cambria" w:hAnsi="Cambria"/>
          <w:b/>
          <w:b/>
          <w:color w:val="1B1B1B"/>
          <w:sz w:val="28"/>
          <w:szCs w:val="28"/>
        </w:rPr>
      </w:pPr>
      <w:r>
        <w:rPr>
          <w:rFonts w:ascii="Cambria" w:hAnsi="Cambria"/>
          <w:b/>
          <w:color w:val="1B1B1B"/>
          <w:sz w:val="28"/>
          <w:szCs w:val="28"/>
        </w:rPr>
        <w:t xml:space="preserve"> </w:t>
      </w:r>
      <w:r>
        <w:rPr>
          <w:rFonts w:ascii="Cambria" w:hAnsi="Cambria"/>
          <w:b/>
          <w:color w:val="1B1B1B"/>
          <w:sz w:val="28"/>
          <w:szCs w:val="28"/>
        </w:rPr>
        <w:t>Scholarships for the academic year 2021-22</w:t>
      </w:r>
    </w:p>
    <w:p>
      <w:pPr>
        <w:pStyle w:val="Default"/>
        <w:spacing w:lineRule="auto" w:line="288" w:before="0" w:after="0"/>
        <w:jc w:val="both"/>
        <w:rPr>
          <w:rFonts w:ascii="Cambria" w:hAnsi="Cambria"/>
          <w:color w:val="1B1B1B"/>
          <w:sz w:val="28"/>
          <w:szCs w:val="28"/>
        </w:rPr>
      </w:pPr>
      <w:r>
        <w:rPr>
          <w:rFonts w:ascii="Cambria" w:hAnsi="Cambria"/>
          <w:color w:val="1B1B1B"/>
          <w:sz w:val="28"/>
          <w:szCs w:val="28"/>
        </w:rPr>
      </w:r>
    </w:p>
    <w:p>
      <w:pPr>
        <w:pStyle w:val="Default"/>
        <w:spacing w:lineRule="auto" w:line="288" w:before="0" w:after="0"/>
        <w:jc w:val="both"/>
        <w:rPr>
          <w:rFonts w:ascii="Cambria" w:hAnsi="Cambria"/>
          <w:color w:val="1B1B1B"/>
          <w:sz w:val="28"/>
          <w:szCs w:val="28"/>
        </w:rPr>
      </w:pPr>
      <w:r>
        <w:rPr>
          <w:rFonts w:ascii="Cambria" w:hAnsi="Cambria"/>
          <w:color w:val="1B1B1B"/>
          <w:sz w:val="28"/>
          <w:szCs w:val="28"/>
        </w:rPr>
      </w:r>
    </w:p>
    <w:p>
      <w:pPr>
        <w:pStyle w:val="Default"/>
        <w:numPr>
          <w:ilvl w:val="0"/>
          <w:numId w:val="1"/>
        </w:numPr>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shd w:fill="FFFFFF" w:val="clear"/>
        </w:rPr>
        <w:t xml:space="preserve">ICCR Scholarship Scheme for Indian Culture </w:t>
      </w:r>
    </w:p>
    <w:p>
      <w:pPr>
        <w:pStyle w:val="Default"/>
        <w:numPr>
          <w:ilvl w:val="0"/>
          <w:numId w:val="1"/>
        </w:numPr>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shd w:fill="FFFFFF" w:val="clear"/>
        </w:rPr>
        <w:t>ICCR Scholarship Scheme for PhD Programme</w:t>
      </w:r>
    </w:p>
    <w:p>
      <w:pPr>
        <w:pStyle w:val="Default"/>
        <w:numPr>
          <w:ilvl w:val="0"/>
          <w:numId w:val="1"/>
        </w:numPr>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shd w:fill="FFFFFF" w:val="clear"/>
        </w:rPr>
        <w:t>ICCR General Scholarships Scheme</w:t>
      </w:r>
    </w:p>
    <w:p>
      <w:pPr>
        <w:pStyle w:val="Default"/>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highlight w:val="white"/>
        </w:rPr>
      </w:r>
    </w:p>
    <w:p>
      <w:pPr>
        <w:pStyle w:val="Default"/>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shd w:fill="FFFFFF" w:val="clear"/>
        </w:rPr>
        <w:t>ICCR Scholarship Scheme for Indian Culture</w:t>
      </w:r>
    </w:p>
    <w:p>
      <w:pPr>
        <w:pStyle w:val="Default"/>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highlight w:val="white"/>
        </w:rPr>
      </w:r>
    </w:p>
    <w:p>
      <w:pPr>
        <w:pStyle w:val="Default"/>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highlight w:val="white"/>
        </w:rPr>
        <w:drawing>
          <wp:anchor behindDoc="0" distT="0" distB="0" distL="0" distR="0" simplePos="0" locked="0" layoutInCell="1" allowOverlap="1" relativeHeight="5">
            <wp:simplePos x="0" y="0"/>
            <wp:positionH relativeFrom="column">
              <wp:align>center</wp:align>
            </wp:positionH>
            <wp:positionV relativeFrom="paragraph">
              <wp:posOffset>635</wp:posOffset>
            </wp:positionV>
            <wp:extent cx="6120130" cy="3442335"/>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6120130" cy="3442335"/>
                    </a:xfrm>
                    <a:prstGeom prst="rect">
                      <a:avLst/>
                    </a:prstGeom>
                  </pic:spPr>
                </pic:pic>
              </a:graphicData>
            </a:graphic>
          </wp:anchor>
        </w:drawing>
      </w:r>
    </w:p>
    <w:p>
      <w:pPr>
        <w:pStyle w:val="Default"/>
        <w:spacing w:lineRule="auto" w:line="288" w:before="0" w:after="0"/>
        <w:jc w:val="both"/>
        <w:rPr>
          <w:rFonts w:ascii="Cambria" w:hAnsi="Cambria" w:eastAsia="Times New Roman" w:cs="Times New Roman"/>
          <w:b/>
          <w:b/>
          <w:bCs/>
          <w:color w:val="1B1B1B"/>
          <w:sz w:val="28"/>
          <w:szCs w:val="28"/>
          <w:highlight w:val="white"/>
        </w:rPr>
      </w:pPr>
      <w:r>
        <w:rPr>
          <w:rFonts w:eastAsia="Times New Roman" w:cs="Times New Roman" w:ascii="Cambria" w:hAnsi="Cambria"/>
          <w:b/>
          <w:bCs/>
          <w:color w:val="1B1B1B"/>
          <w:sz w:val="28"/>
          <w:szCs w:val="28"/>
          <w:highlight w:val="white"/>
        </w:rPr>
        <mc:AlternateContent>
          <mc:Choice Requires="wps">
            <w:drawing>
              <wp:anchor behindDoc="0" distT="0" distB="0" distL="114300" distR="114300" simplePos="0" locked="0" layoutInCell="1" allowOverlap="1" relativeHeight="2" wp14:anchorId="55C5CFB8">
                <wp:simplePos x="0" y="0"/>
                <wp:positionH relativeFrom="column">
                  <wp:posOffset>1952625</wp:posOffset>
                </wp:positionH>
                <wp:positionV relativeFrom="paragraph">
                  <wp:posOffset>16510</wp:posOffset>
                </wp:positionV>
                <wp:extent cx="1831975" cy="741680"/>
                <wp:effectExtent l="0" t="0" r="0" b="0"/>
                <wp:wrapSquare wrapText="bothSides"/>
                <wp:docPr id="2" name="Text Box 2"/>
                <a:graphic xmlns:a="http://schemas.openxmlformats.org/drawingml/2006/main">
                  <a:graphicData uri="http://schemas.microsoft.com/office/word/2010/wordprocessingShape">
                    <wps:wsp>
                      <wps:cNvSpPr/>
                      <wps:spPr>
                        <a:xfrm>
                          <a:off x="0" y="0"/>
                          <a:ext cx="1831320" cy="740880"/>
                        </a:xfrm>
                        <a:prstGeom prst="rect">
                          <a:avLst/>
                        </a:prstGeom>
                        <a:noFill/>
                        <a:ln w="6480">
                          <a:solidFill>
                            <a:srgbClr val="000000"/>
                          </a:solidFill>
                          <a:round/>
                        </a:ln>
                      </wps:spPr>
                      <wps:style>
                        <a:lnRef idx="0"/>
                        <a:fillRef idx="0"/>
                        <a:effectRef idx="0"/>
                        <a:fontRef idx="minor"/>
                      </wps:style>
                      <wps:txbx>
                        <w:txbxContent>
                          <w:p>
                            <w:pPr>
                              <w:pStyle w:val="Default"/>
                              <w:spacing w:lineRule="auto" w:line="288" w:before="160" w:after="0"/>
                              <w:jc w:val="both"/>
                              <w:rPr/>
                            </w:pPr>
                            <w:r>
                              <w:rPr>
                                <w:rFonts w:ascii="Cambria" w:hAnsi="Cambria"/>
                                <w:b/>
                                <w:bCs/>
                                <w:color w:val="941100"/>
                                <w:sz w:val="28"/>
                                <w:szCs w:val="28"/>
                                <w:shd w:fill="FFFFFF" w:val="clear"/>
                              </w:rPr>
                              <w:t>Last Date to apply: May 30, 2021</w:t>
                            </w:r>
                          </w:p>
                        </w:txbxContent>
                      </wps:txbx>
                      <wps:bodyPr>
                        <a:prstTxWarp prst="textNoShape"/>
                        <a:spAutoFit/>
                      </wps:bodyPr>
                    </wps:wsp>
                  </a:graphicData>
                </a:graphic>
              </wp:anchor>
            </w:drawing>
          </mc:Choice>
          <mc:Fallback>
            <w:pict>
              <v:rect id="shape_0" ID="Text Box 2" stroked="t" style="position:absolute;margin-left:153.75pt;margin-top:1.3pt;width:144.15pt;height:58.3pt" wp14:anchorId="55C5CFB8">
                <w10:wrap type="square"/>
                <v:fill o:detectmouseclick="t" on="false"/>
                <v:stroke color="black" weight="6480" joinstyle="round" endcap="flat"/>
                <v:textbox>
                  <w:txbxContent>
                    <w:p>
                      <w:pPr>
                        <w:pStyle w:val="Default"/>
                        <w:spacing w:lineRule="auto" w:line="288" w:before="160" w:after="0"/>
                        <w:jc w:val="both"/>
                        <w:rPr/>
                      </w:pPr>
                      <w:r>
                        <w:rPr>
                          <w:rFonts w:ascii="Cambria" w:hAnsi="Cambria"/>
                          <w:b/>
                          <w:bCs/>
                          <w:color w:val="941100"/>
                          <w:sz w:val="28"/>
                          <w:szCs w:val="28"/>
                          <w:shd w:fill="FFFFFF" w:val="clear"/>
                        </w:rPr>
                        <w:t>Last Date to apply: May 30, 2021</w:t>
                      </w:r>
                    </w:p>
                  </w:txbxContent>
                </v:textbox>
              </v:rect>
            </w:pict>
          </mc:Fallback>
        </mc:AlternateContent>
      </w:r>
    </w:p>
    <w:p>
      <w:pPr>
        <w:pStyle w:val="Default"/>
        <w:spacing w:lineRule="auto" w:line="288" w:before="0" w:after="0"/>
        <w:jc w:val="both"/>
        <w:rPr>
          <w:rFonts w:ascii="Cambria" w:hAnsi="Cambria" w:eastAsia="Times New Roman" w:cs="Times New Roman"/>
          <w:b/>
          <w:b/>
          <w:bCs/>
          <w:color w:val="1B1B1B"/>
          <w:sz w:val="28"/>
          <w:szCs w:val="28"/>
          <w:highlight w:val="white"/>
        </w:rPr>
      </w:pPr>
      <w:r>
        <w:rPr>
          <w:rFonts w:eastAsia="Times New Roman" w:cs="Times New Roman" w:ascii="Cambria" w:hAnsi="Cambria"/>
          <w:b/>
          <w:bCs/>
          <w:color w:val="1B1B1B"/>
          <w:sz w:val="28"/>
          <w:szCs w:val="28"/>
          <w:highlight w:val="white"/>
        </w:rPr>
      </w:r>
    </w:p>
    <w:p>
      <w:pPr>
        <w:pStyle w:val="Default"/>
        <w:spacing w:lineRule="auto" w:line="288" w:before="0" w:after="0"/>
        <w:jc w:val="both"/>
        <w:rPr>
          <w:rFonts w:ascii="Cambria" w:hAnsi="Cambria"/>
          <w:color w:val="1B1B1B"/>
          <w:sz w:val="28"/>
          <w:szCs w:val="28"/>
          <w:highlight w:val="white"/>
        </w:rPr>
      </w:pPr>
      <w:r>
        <w:rPr>
          <w:rFonts w:ascii="Cambria" w:hAnsi="Cambria"/>
          <w:color w:val="1B1B1B"/>
          <w:sz w:val="28"/>
          <w:szCs w:val="28"/>
          <w:highlight w:val="white"/>
        </w:rPr>
      </w:r>
    </w:p>
    <w:p>
      <w:pPr>
        <w:pStyle w:val="Default"/>
        <w:spacing w:lineRule="auto" w:line="288" w:before="0" w:after="0"/>
        <w:jc w:val="both"/>
        <w:rPr>
          <w:rFonts w:ascii="Cambria" w:hAnsi="Cambria"/>
          <w:color w:val="1B1B1B"/>
          <w:sz w:val="28"/>
          <w:szCs w:val="28"/>
          <w:highlight w:val="white"/>
        </w:rPr>
      </w:pPr>
      <w:r>
        <w:rPr>
          <w:rFonts w:ascii="Cambria" w:hAnsi="Cambria"/>
          <w:color w:val="1B1B1B"/>
          <w:sz w:val="28"/>
          <w:szCs w:val="28"/>
          <w:highlight w:val="white"/>
        </w:rPr>
      </w:r>
    </w:p>
    <w:p>
      <w:pPr>
        <w:pStyle w:val="Default"/>
        <w:spacing w:lineRule="auto" w:line="288" w:before="0" w:after="0"/>
        <w:ind w:firstLine="720"/>
        <w:jc w:val="both"/>
        <w:rPr/>
      </w:pPr>
      <w:r>
        <w:rPr>
          <w:rFonts w:ascii="Cambria" w:hAnsi="Cambria"/>
          <w:color w:val="1B1B1B"/>
          <w:sz w:val="28"/>
          <w:szCs w:val="28"/>
          <w:shd w:fill="FFFFFF" w:val="clear"/>
        </w:rPr>
        <w:t xml:space="preserve">The Government of India under the aegis of the Indian Council for Cultural Relations (ICCR) is offering </w:t>
      </w:r>
      <w:r>
        <w:rPr>
          <w:rFonts w:ascii="Cambria" w:hAnsi="Cambria"/>
          <w:b/>
          <w:bCs/>
          <w:color w:val="1B1B1B"/>
          <w:sz w:val="28"/>
          <w:szCs w:val="28"/>
          <w:shd w:fill="FFFFFF" w:val="clear"/>
        </w:rPr>
        <w:t xml:space="preserve">100 scholarships globally </w:t>
      </w:r>
      <w:r>
        <w:rPr>
          <w:rFonts w:ascii="Cambria" w:hAnsi="Cambria"/>
          <w:bCs/>
          <w:color w:val="1B1B1B"/>
          <w:sz w:val="28"/>
          <w:szCs w:val="28"/>
          <w:shd w:fill="FFFFFF" w:val="clear"/>
        </w:rPr>
        <w:t xml:space="preserve">to pursue study of </w:t>
      </w:r>
      <w:r>
        <w:rPr>
          <w:rFonts w:ascii="Cambria" w:hAnsi="Cambria"/>
          <w:b/>
          <w:bCs/>
          <w:color w:val="1B1B1B"/>
          <w:sz w:val="28"/>
          <w:szCs w:val="28"/>
          <w:shd w:fill="FFFFFF" w:val="clear"/>
        </w:rPr>
        <w:t xml:space="preserve">Indian Culture </w:t>
      </w:r>
      <w:r>
        <w:rPr>
          <w:rFonts w:ascii="Cambria" w:hAnsi="Cambria"/>
          <w:bCs/>
          <w:color w:val="1B1B1B"/>
          <w:sz w:val="28"/>
          <w:szCs w:val="28"/>
          <w:shd w:fill="FFFFFF" w:val="clear"/>
        </w:rPr>
        <w:t>such as dance, music, theatre, performing art, sculpture, Indian languages, Indian cuisine, etc</w:t>
      </w:r>
      <w:r>
        <w:rPr>
          <w:rFonts w:ascii="Cambria" w:hAnsi="Cambria"/>
          <w:b/>
          <w:bCs/>
          <w:color w:val="1B1B1B"/>
          <w:sz w:val="28"/>
          <w:szCs w:val="28"/>
          <w:shd w:fill="FFFFFF" w:val="clear"/>
        </w:rPr>
        <w:t xml:space="preserve">.  </w:t>
      </w:r>
    </w:p>
    <w:p>
      <w:pPr>
        <w:pStyle w:val="Default"/>
        <w:spacing w:lineRule="auto" w:line="288" w:before="0" w:after="0"/>
        <w:ind w:firstLine="720"/>
        <w:jc w:val="both"/>
        <w:rPr>
          <w:rFonts w:ascii="Cambria" w:hAnsi="Cambria"/>
          <w:b/>
          <w:b/>
          <w:bCs/>
          <w:color w:val="1B1B1B"/>
          <w:sz w:val="28"/>
          <w:szCs w:val="28"/>
          <w:highlight w:val="white"/>
        </w:rPr>
      </w:pPr>
      <w:r>
        <w:rPr>
          <w:rFonts w:ascii="Cambria" w:hAnsi="Cambria"/>
          <w:b/>
          <w:bCs/>
          <w:color w:val="1B1B1B"/>
          <w:sz w:val="28"/>
          <w:szCs w:val="28"/>
          <w:highlight w:val="white"/>
        </w:rPr>
      </w:r>
    </w:p>
    <w:p>
      <w:pPr>
        <w:pStyle w:val="Default"/>
        <w:spacing w:lineRule="auto" w:line="288" w:before="0" w:after="0"/>
        <w:jc w:val="both"/>
        <w:rPr>
          <w:rFonts w:ascii="Cambria" w:hAnsi="Cambria" w:eastAsia="Times New Roman" w:cs="Times New Roman"/>
          <w:bCs/>
          <w:color w:val="1B1B1B"/>
          <w:sz w:val="28"/>
          <w:szCs w:val="28"/>
          <w:highlight w:val="white"/>
        </w:rPr>
      </w:pPr>
      <w:r>
        <w:rPr>
          <w:rFonts w:ascii="Cambria" w:hAnsi="Cambria"/>
          <w:color w:val="1B1B1B"/>
          <w:sz w:val="28"/>
          <w:szCs w:val="28"/>
          <w:shd w:fill="FFFFFF" w:val="clear"/>
        </w:rPr>
        <w:t xml:space="preserve">The applicants should be </w:t>
      </w:r>
      <w:r>
        <w:rPr>
          <w:rFonts w:ascii="Cambria" w:hAnsi="Cambria"/>
          <w:bCs/>
          <w:color w:val="1B1B1B"/>
          <w:sz w:val="28"/>
          <w:szCs w:val="28"/>
          <w:shd w:fill="FFFFFF" w:val="clear"/>
        </w:rPr>
        <w:t>within the</w:t>
      </w:r>
      <w:r>
        <w:rPr>
          <w:rFonts w:ascii="Cambria" w:hAnsi="Cambria"/>
          <w:b/>
          <w:bCs/>
          <w:color w:val="1B1B1B"/>
          <w:sz w:val="28"/>
          <w:szCs w:val="28"/>
          <w:shd w:fill="FFFFFF" w:val="clear"/>
        </w:rPr>
        <w:t xml:space="preserve"> age of 18-30 </w:t>
      </w:r>
      <w:r>
        <w:rPr>
          <w:rFonts w:ascii="Cambria" w:hAnsi="Cambria"/>
          <w:bCs/>
          <w:color w:val="1B1B1B"/>
          <w:sz w:val="28"/>
          <w:szCs w:val="28"/>
          <w:shd w:fill="FFFFFF" w:val="clear"/>
        </w:rPr>
        <w:t>years to be eligible for this scholarship.</w:t>
      </w:r>
    </w:p>
    <w:p>
      <w:pPr>
        <w:pStyle w:val="Default"/>
        <w:spacing w:lineRule="auto" w:line="288" w:before="0" w:after="0"/>
        <w:jc w:val="both"/>
        <w:rPr>
          <w:rFonts w:ascii="Cambria" w:hAnsi="Cambria" w:eastAsia="Times New Roman" w:cs="Times New Roman"/>
          <w:b/>
          <w:b/>
          <w:bCs/>
          <w:color w:val="1B1B1B"/>
          <w:sz w:val="28"/>
          <w:szCs w:val="28"/>
          <w:highlight w:val="white"/>
        </w:rPr>
      </w:pPr>
      <w:r>
        <w:rPr>
          <w:rFonts w:eastAsia="Times New Roman" w:cs="Times New Roman" w:ascii="Cambria" w:hAnsi="Cambria"/>
          <w:b/>
          <w:bCs/>
          <w:color w:val="1B1B1B"/>
          <w:sz w:val="28"/>
          <w:szCs w:val="28"/>
          <w:highlight w:val="white"/>
        </w:rPr>
      </w:r>
    </w:p>
    <w:p>
      <w:pPr>
        <w:pStyle w:val="Default"/>
        <w:spacing w:lineRule="auto" w:line="288" w:before="0" w:after="0"/>
        <w:jc w:val="both"/>
        <w:rPr>
          <w:rFonts w:ascii="Cambria" w:hAnsi="Cambria"/>
          <w:bCs/>
          <w:color w:val="1B1B1B"/>
          <w:sz w:val="28"/>
          <w:szCs w:val="28"/>
          <w:highlight w:val="white"/>
        </w:rPr>
      </w:pPr>
      <w:r>
        <w:rPr>
          <w:rFonts w:ascii="Cambria" w:hAnsi="Cambria"/>
          <w:bCs/>
          <w:color w:val="1B1B1B"/>
          <w:sz w:val="28"/>
          <w:szCs w:val="28"/>
          <w:shd w:fill="FFFFFF" w:val="clear"/>
        </w:rPr>
        <w:t>The scholarship includes return economy class international airfare.</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pPr>
      <w:r>
        <w:rPr>
          <w:rFonts w:ascii="Cambria" w:hAnsi="Cambria"/>
          <w:color w:val="1B1B1B"/>
          <w:sz w:val="28"/>
          <w:szCs w:val="28"/>
          <w:shd w:fill="FFFFFF" w:val="clear"/>
        </w:rPr>
        <w:t xml:space="preserve">Applicants are requested to log onto </w:t>
      </w:r>
      <w:r>
        <w:rPr>
          <w:rFonts w:ascii="Cambria" w:hAnsi="Cambria"/>
          <w:b/>
          <w:bCs/>
          <w:color w:val="1B1B1B"/>
          <w:sz w:val="28"/>
          <w:szCs w:val="28"/>
          <w:shd w:fill="FFFFFF" w:val="clear"/>
        </w:rPr>
        <w:t>"Admissions to Alumni" (A2A)</w:t>
      </w:r>
      <w:r>
        <w:rPr>
          <w:rFonts w:ascii="Cambria" w:hAnsi="Cambria"/>
          <w:color w:val="1B1B1B"/>
          <w:sz w:val="28"/>
          <w:szCs w:val="28"/>
          <w:shd w:fill="FFFFFF" w:val="clear"/>
        </w:rPr>
        <w:t xml:space="preserve">, the Scholarship Portal developed by ICCR at </w:t>
      </w:r>
      <w:hyperlink r:id="rId3">
        <w:r>
          <w:rPr>
            <w:rStyle w:val="Hyperlink0"/>
            <w:rFonts w:ascii="Cambria" w:hAnsi="Cambria"/>
            <w:sz w:val="28"/>
            <w:szCs w:val="28"/>
            <w:highlight w:val="white"/>
          </w:rPr>
          <w:t>http://a2ascholarships.iccr.gov.in/</w:t>
        </w:r>
      </w:hyperlink>
      <w:r>
        <w:rPr>
          <w:rFonts w:ascii="Cambria" w:hAnsi="Cambria"/>
          <w:color w:val="1B1B1B"/>
          <w:sz w:val="28"/>
          <w:szCs w:val="28"/>
          <w:shd w:fill="FFFFFF" w:val="clear"/>
        </w:rPr>
        <w:t>.</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eastAsia="Times New Roman" w:cs="Times New Roman"/>
          <w:color w:val="1B1B1B"/>
          <w:sz w:val="28"/>
          <w:szCs w:val="28"/>
          <w:highlight w:val="white"/>
        </w:rPr>
      </w:pPr>
      <w:r>
        <w:rPr>
          <w:rFonts w:ascii="Cambria" w:hAnsi="Cambria"/>
          <w:color w:val="1B1B1B"/>
          <w:sz w:val="28"/>
          <w:szCs w:val="28"/>
          <w:shd w:fill="FFFFFF" w:val="clear"/>
        </w:rPr>
        <w:t>This portal contains all the relevant information for the applicants including details of all State Universities, Central Universities and Institutes, colleges affiliated with them, courses available, availability of hostels, applications guidelines, eligibility criteria and other relevant information for helping the applicants in decision-making while applying for the academic courses of their preference.</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ascii="Cambria" w:hAnsi="Cambria"/>
          <w:b/>
          <w:bCs/>
          <w:color w:val="1B1B1B"/>
          <w:sz w:val="28"/>
          <w:szCs w:val="28"/>
          <w:shd w:fill="FFFFFF" w:val="clear"/>
        </w:rPr>
        <w:t>Please carefully note the following:</w:t>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3"/>
        </w:numPr>
        <w:spacing w:lineRule="auto" w:line="288" w:before="0" w:after="0"/>
        <w:jc w:val="both"/>
        <w:rPr/>
      </w:pPr>
      <w:r>
        <w:rPr>
          <w:rFonts w:ascii="Cambria" w:hAnsi="Cambria"/>
          <w:color w:val="1B1B1B"/>
          <w:sz w:val="28"/>
          <w:szCs w:val="28"/>
          <w:shd w:fill="FFFFFF" w:val="clear"/>
        </w:rPr>
        <w:t>Applications should be submitted latest by 3</w:t>
      </w:r>
      <w:r>
        <w:rPr>
          <w:rStyle w:val="None"/>
          <w:rFonts w:ascii="Cambria" w:hAnsi="Cambria"/>
          <w:b/>
          <w:bCs/>
          <w:color w:val="1B1B1B"/>
          <w:sz w:val="28"/>
          <w:szCs w:val="28"/>
          <w:shd w:fill="FFFFFF" w:val="clear"/>
        </w:rPr>
        <w:t xml:space="preserve">0th May 2021 </w:t>
      </w:r>
      <w:r>
        <w:rPr>
          <w:rFonts w:ascii="Cambria" w:hAnsi="Cambria"/>
          <w:color w:val="1B1B1B"/>
          <w:sz w:val="28"/>
          <w:szCs w:val="28"/>
          <w:shd w:fill="FFFFFF" w:val="clear"/>
        </w:rPr>
        <w:t xml:space="preserve">through the online application mechanism. </w:t>
      </w:r>
      <w:r>
        <w:rPr>
          <w:rFonts w:ascii="Cambria" w:hAnsi="Cambria"/>
          <w:color w:val="1B1B1B"/>
          <w:sz w:val="28"/>
          <w:szCs w:val="28"/>
          <w:shd w:fill="FFFFFF" w:val="clear"/>
          <w:lang w:val="fr-FR"/>
        </w:rPr>
        <w:t xml:space="preserve">Applications </w:t>
      </w:r>
      <w:r>
        <w:rPr>
          <w:rStyle w:val="None"/>
          <w:rFonts w:ascii="Cambria" w:hAnsi="Cambria"/>
          <w:b/>
          <w:bCs/>
          <w:color w:val="1B1B1B"/>
          <w:sz w:val="28"/>
          <w:szCs w:val="28"/>
          <w:shd w:fill="FFFFFF" w:val="clear"/>
        </w:rPr>
        <w:t>should be complete</w:t>
      </w:r>
      <w:r>
        <w:rPr>
          <w:rFonts w:ascii="Cambria" w:hAnsi="Cambria"/>
          <w:color w:val="1B1B1B"/>
          <w:sz w:val="28"/>
          <w:szCs w:val="28"/>
          <w:shd w:fill="FFFFFF" w:val="clear"/>
        </w:rPr>
        <w:t xml:space="preserve"> in every detail. Kindly read the guidelines on the portal.</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3"/>
        </w:numPr>
        <w:spacing w:lineRule="auto" w:line="288" w:before="0" w:after="0"/>
        <w:jc w:val="both"/>
        <w:rPr>
          <w:rStyle w:val="None"/>
          <w:rFonts w:ascii="Cambria" w:hAnsi="Cambria" w:eastAsia="Times New Roman" w:cs="Times New Roman"/>
          <w:b/>
          <w:b/>
          <w:bCs/>
          <w:color w:val="1B1B1B"/>
          <w:sz w:val="28"/>
          <w:szCs w:val="28"/>
          <w:highlight w:val="white"/>
        </w:rPr>
      </w:pPr>
      <w:r>
        <w:rPr>
          <w:rStyle w:val="None"/>
          <w:rFonts w:ascii="Cambria" w:hAnsi="Cambria"/>
          <w:b/>
          <w:bCs/>
          <w:color w:val="1B1B1B"/>
          <w:sz w:val="28"/>
          <w:szCs w:val="28"/>
          <w:shd w:fill="FFFFFF" w:val="clear"/>
        </w:rPr>
        <w:t>Personal medical insurance</w:t>
      </w:r>
      <w:r>
        <w:rPr>
          <w:rStyle w:val="None"/>
          <w:rFonts w:ascii="Cambria" w:hAnsi="Cambria"/>
          <w:color w:val="1B1B1B"/>
          <w:sz w:val="28"/>
          <w:szCs w:val="28"/>
          <w:shd w:fill="FFFFFF" w:val="clear"/>
        </w:rPr>
        <w:t xml:space="preserve"> is a mandatory requirement for availing ICCR’s scholarship. All ICCR scholarship students will have to procure Medical Insurance policy with minimum sum assured for</w:t>
      </w:r>
      <w:r>
        <w:rPr>
          <w:rStyle w:val="None"/>
          <w:rFonts w:ascii="Cambria" w:hAnsi="Cambria"/>
          <w:b/>
          <w:bCs/>
          <w:color w:val="1B1B1B"/>
          <w:sz w:val="28"/>
          <w:szCs w:val="28"/>
          <w:shd w:fill="FFFFFF" w:val="clear"/>
        </w:rPr>
        <w:t xml:space="preserve"> Indian Rupees Five Lakhs</w:t>
      </w:r>
      <w:r>
        <w:rPr>
          <w:rStyle w:val="None"/>
          <w:rFonts w:ascii="Cambria" w:hAnsi="Cambria"/>
          <w:color w:val="1B1B1B"/>
          <w:sz w:val="28"/>
          <w:szCs w:val="28"/>
          <w:shd w:fill="FFFFFF" w:val="clear"/>
        </w:rPr>
        <w:t xml:space="preserve"> which is equivalent to </w:t>
      </w:r>
      <w:r>
        <w:rPr>
          <w:rStyle w:val="None"/>
          <w:rFonts w:ascii="Cambria" w:hAnsi="Cambria"/>
          <w:b/>
          <w:bCs/>
          <w:color w:val="1B1B1B"/>
          <w:sz w:val="28"/>
          <w:szCs w:val="28"/>
          <w:shd w:fill="FFFFFF" w:val="clear"/>
        </w:rPr>
        <w:t>US$6800 per annum.</w:t>
      </w:r>
    </w:p>
    <w:p>
      <w:pPr>
        <w:pStyle w:val="Default"/>
        <w:spacing w:lineRule="auto" w:line="288" w:before="0" w:after="0"/>
        <w:jc w:val="both"/>
        <w:rPr>
          <w:rStyle w:val="None"/>
          <w:rFonts w:ascii="Cambria" w:hAnsi="Cambria" w:eastAsia="Times New Roman" w:cs="Times New Roman"/>
          <w:b/>
          <w:b/>
          <w:bCs/>
          <w:color w:val="1B1B1B"/>
          <w:sz w:val="28"/>
          <w:szCs w:val="28"/>
          <w:highlight w:val="white"/>
        </w:rPr>
      </w:pPr>
      <w:r>
        <w:rPr>
          <w:rFonts w:eastAsia="Times New Roman" w:cs="Times New Roman" w:ascii="Cambria" w:hAnsi="Cambria"/>
          <w:b/>
          <w:bCs/>
          <w:color w:val="1B1B1B"/>
          <w:sz w:val="28"/>
          <w:szCs w:val="28"/>
          <w:highlight w:val="white"/>
        </w:rPr>
      </w:r>
    </w:p>
    <w:p>
      <w:pPr>
        <w:pStyle w:val="Default"/>
        <w:numPr>
          <w:ilvl w:val="0"/>
          <w:numId w:val="3"/>
        </w:numPr>
        <w:spacing w:lineRule="auto" w:line="288" w:before="0" w:after="0"/>
        <w:jc w:val="both"/>
        <w:rPr>
          <w:rFonts w:ascii="Cambria" w:hAnsi="Cambria" w:eastAsia="Times New Roman" w:cs="Times New Roman"/>
          <w:color w:val="1B1B1B"/>
          <w:sz w:val="28"/>
          <w:szCs w:val="28"/>
          <w:highlight w:val="white"/>
        </w:rPr>
      </w:pPr>
      <w:r>
        <w:rPr>
          <w:rFonts w:ascii="Cambria" w:hAnsi="Cambria"/>
          <w:color w:val="1B1B1B"/>
          <w:sz w:val="28"/>
          <w:szCs w:val="28"/>
          <w:shd w:fill="FFFFFF" w:val="clear"/>
        </w:rPr>
        <w:t xml:space="preserve">Medium of instruction is </w:t>
      </w:r>
      <w:r>
        <w:rPr>
          <w:rStyle w:val="None"/>
          <w:rFonts w:ascii="Cambria" w:hAnsi="Cambria"/>
          <w:b/>
          <w:bCs/>
          <w:color w:val="1B1B1B"/>
          <w:sz w:val="28"/>
          <w:szCs w:val="28"/>
          <w:shd w:fill="FFFFFF" w:val="clear"/>
        </w:rPr>
        <w:t xml:space="preserve">English </w:t>
      </w:r>
      <w:r>
        <w:rPr>
          <w:rFonts w:ascii="Cambria" w:hAnsi="Cambria"/>
          <w:color w:val="1B1B1B"/>
          <w:sz w:val="28"/>
          <w:szCs w:val="28"/>
          <w:shd w:fill="FFFFFF" w:val="clear"/>
        </w:rPr>
        <w:t>in all the Universities in lndia.</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3"/>
        </w:numPr>
        <w:spacing w:lineRule="auto" w:line="288" w:before="0" w:after="0"/>
        <w:jc w:val="both"/>
        <w:rPr>
          <w:rFonts w:ascii="Cambria" w:hAnsi="Cambria" w:eastAsia="Times New Roman" w:cs="Times New Roman"/>
          <w:color w:val="1B1B1B"/>
          <w:sz w:val="28"/>
          <w:szCs w:val="28"/>
          <w:highlight w:val="white"/>
        </w:rPr>
      </w:pPr>
      <w:r>
        <w:rPr>
          <w:rFonts w:ascii="Cambria" w:hAnsi="Cambria"/>
          <w:color w:val="1B1B1B"/>
          <w:sz w:val="28"/>
          <w:szCs w:val="28"/>
          <w:shd w:fill="FFFFFF" w:val="clear"/>
        </w:rPr>
        <w:t xml:space="preserve">While filling the application, applicant have to </w:t>
      </w:r>
      <w:r>
        <w:rPr>
          <w:rStyle w:val="None"/>
          <w:rFonts w:ascii="Cambria" w:hAnsi="Cambria"/>
          <w:b/>
          <w:bCs/>
          <w:color w:val="1B1B1B"/>
          <w:sz w:val="28"/>
          <w:szCs w:val="28"/>
          <w:shd w:fill="FFFFFF" w:val="clear"/>
        </w:rPr>
        <w:t>write a 500-word essay in English</w:t>
      </w:r>
      <w:r>
        <w:rPr>
          <w:rFonts w:ascii="Cambria" w:hAnsi="Cambria"/>
          <w:color w:val="1B1B1B"/>
          <w:sz w:val="28"/>
          <w:szCs w:val="28"/>
          <w:shd w:fill="FFFFFF" w:val="clear"/>
        </w:rPr>
        <w:t xml:space="preserve"> on one of the topics / subject mentioned in the Portal. There is an optional provision for applicants to provide their </w:t>
      </w:r>
      <w:r>
        <w:rPr>
          <w:rStyle w:val="None"/>
          <w:rFonts w:ascii="Cambria" w:hAnsi="Cambria"/>
          <w:b/>
          <w:bCs/>
          <w:color w:val="1B1B1B"/>
          <w:sz w:val="28"/>
          <w:szCs w:val="28"/>
          <w:shd w:fill="FFFFFF" w:val="clear"/>
        </w:rPr>
        <w:t>standardised test scores</w:t>
      </w:r>
      <w:r>
        <w:rPr>
          <w:rFonts w:ascii="Cambria" w:hAnsi="Cambria"/>
          <w:color w:val="1B1B1B"/>
          <w:sz w:val="28"/>
          <w:szCs w:val="28"/>
          <w:shd w:fill="FFFFFF" w:val="clear"/>
        </w:rPr>
        <w:t xml:space="preserve">, if available in any of the English Proficiency Tests like </w:t>
      </w:r>
      <w:r>
        <w:rPr>
          <w:rStyle w:val="None"/>
          <w:rFonts w:ascii="Cambria" w:hAnsi="Cambria"/>
          <w:b/>
          <w:bCs/>
          <w:color w:val="1B1B1B"/>
          <w:sz w:val="28"/>
          <w:szCs w:val="28"/>
          <w:shd w:fill="FFFFFF" w:val="clear"/>
        </w:rPr>
        <w:t>TOFEL/IEL</w:t>
      </w:r>
      <w:r>
        <w:rPr>
          <w:rStyle w:val="None"/>
          <w:rFonts w:ascii="Cambria" w:hAnsi="Cambria"/>
          <w:b/>
          <w:bCs/>
          <w:color w:val="1B1B1B"/>
          <w:sz w:val="28"/>
          <w:szCs w:val="28"/>
          <w:shd w:fill="FFFFFF" w:val="clear"/>
          <w:lang w:val="fr-FR"/>
        </w:rPr>
        <w:t>TS etc</w:t>
      </w:r>
      <w:r>
        <w:rPr>
          <w:rFonts w:ascii="Cambria" w:hAnsi="Cambria"/>
          <w:color w:val="1B1B1B"/>
          <w:sz w:val="28"/>
          <w:szCs w:val="28"/>
          <w:shd w:fill="FFFFFF" w:val="clear"/>
        </w:rPr>
        <w:t>.</w:t>
      </w:r>
    </w:p>
    <w:p>
      <w:pPr>
        <w:pStyle w:val="Default"/>
        <w:spacing w:lineRule="auto" w:line="288" w:before="0" w:after="0"/>
        <w:jc w:val="both"/>
        <w:rPr>
          <w:rStyle w:val="None"/>
          <w:rFonts w:ascii="Cambria" w:hAnsi="Cambria" w:eastAsia="Times New Roman" w:cs="Times New Roman"/>
          <w:b/>
          <w:b/>
          <w:bCs/>
          <w:color w:val="1B1B1B"/>
          <w:sz w:val="28"/>
          <w:szCs w:val="28"/>
          <w:highlight w:val="white"/>
        </w:rPr>
      </w:pPr>
      <w:r>
        <w:rPr>
          <w:rFonts w:eastAsia="Times New Roman" w:cs="Times New Roman" w:ascii="Cambria" w:hAnsi="Cambria"/>
          <w:b/>
          <w:bCs/>
          <w:color w:val="1B1B1B"/>
          <w:sz w:val="28"/>
          <w:szCs w:val="28"/>
          <w:highlight w:val="white"/>
        </w:rPr>
      </w:r>
    </w:p>
    <w:p>
      <w:pPr>
        <w:pStyle w:val="Default"/>
        <w:numPr>
          <w:ilvl w:val="0"/>
          <w:numId w:val="3"/>
        </w:numPr>
        <w:spacing w:lineRule="auto" w:line="288" w:before="0" w:after="0"/>
        <w:jc w:val="both"/>
        <w:rPr/>
      </w:pPr>
      <w:r>
        <w:rPr>
          <w:rFonts w:ascii="Cambria" w:hAnsi="Cambria"/>
          <w:color w:val="1B1B1B"/>
          <w:sz w:val="28"/>
          <w:szCs w:val="28"/>
          <w:shd w:fill="FFFFFF" w:val="clear"/>
        </w:rPr>
        <w:t xml:space="preserve">Applicants are advised to </w:t>
      </w:r>
      <w:r>
        <w:rPr>
          <w:rStyle w:val="None"/>
          <w:rFonts w:ascii="Cambria" w:hAnsi="Cambria"/>
          <w:b/>
          <w:bCs/>
          <w:color w:val="1B1B1B"/>
          <w:sz w:val="28"/>
          <w:szCs w:val="28"/>
          <w:shd w:fill="FFFFFF" w:val="clear"/>
        </w:rPr>
        <w:t>go through the courses offered</w:t>
      </w:r>
      <w:r>
        <w:rPr>
          <w:rFonts w:ascii="Cambria" w:hAnsi="Cambria"/>
          <w:color w:val="1B1B1B"/>
          <w:sz w:val="28"/>
          <w:szCs w:val="28"/>
          <w:shd w:fill="FFFFFF" w:val="clear"/>
        </w:rPr>
        <w:t xml:space="preserve"> by the Universities carefully before finally submitting the application form. List of Universities and gurus is available at </w:t>
      </w:r>
      <w:hyperlink r:id="rId4">
        <w:r>
          <w:rPr>
            <w:rStyle w:val="Hyperlink0"/>
            <w:rFonts w:ascii="Cambria" w:hAnsi="Cambria"/>
            <w:sz w:val="28"/>
            <w:szCs w:val="28"/>
            <w:highlight w:val="white"/>
          </w:rPr>
          <w:t>http://a2ascholarships.iccr.gov.in/</w:t>
        </w:r>
      </w:hyperlink>
      <w:r>
        <w:rPr>
          <w:rFonts w:ascii="Cambria" w:hAnsi="Cambria"/>
          <w:color w:val="1B1B1B"/>
          <w:sz w:val="28"/>
          <w:szCs w:val="28"/>
          <w:shd w:fill="FFFFFF" w:val="clear"/>
        </w:rPr>
        <w:t>.</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3"/>
        </w:numPr>
        <w:spacing w:lineRule="auto" w:line="288" w:before="0" w:after="0"/>
        <w:jc w:val="both"/>
        <w:rPr>
          <w:rFonts w:ascii="Cambria" w:hAnsi="Cambria" w:eastAsia="Times New Roman" w:cs="Times New Roman"/>
          <w:color w:val="1B1B1B"/>
          <w:sz w:val="28"/>
          <w:szCs w:val="28"/>
          <w:highlight w:val="white"/>
        </w:rPr>
      </w:pPr>
      <w:r>
        <w:rPr>
          <w:rFonts w:ascii="Cambria" w:hAnsi="Cambria"/>
          <w:color w:val="1B1B1B"/>
          <w:sz w:val="28"/>
          <w:szCs w:val="28"/>
          <w:shd w:fill="FFFFFF" w:val="clear"/>
        </w:rPr>
        <w:t xml:space="preserve">Students are advised to </w:t>
      </w:r>
      <w:r>
        <w:rPr>
          <w:rStyle w:val="None"/>
          <w:rFonts w:ascii="Cambria" w:hAnsi="Cambria"/>
          <w:b/>
          <w:bCs/>
          <w:color w:val="1B1B1B"/>
          <w:sz w:val="28"/>
          <w:szCs w:val="28"/>
          <w:shd w:fill="FFFFFF" w:val="clear"/>
        </w:rPr>
        <w:t xml:space="preserve">stay in the hostel , if available. </w:t>
      </w:r>
      <w:r>
        <w:rPr>
          <w:rFonts w:ascii="Cambria" w:hAnsi="Cambria"/>
          <w:color w:val="1B1B1B"/>
          <w:sz w:val="28"/>
          <w:szCs w:val="28"/>
          <w:shd w:fill="FFFFFF" w:val="clear"/>
        </w:rPr>
        <w:t>However, students are allowed to stay in private accommodation if the concerned institute does not insist.</w:t>
      </w:r>
    </w:p>
    <w:p>
      <w:pPr>
        <w:pStyle w:val="Default"/>
        <w:spacing w:lineRule="auto" w:line="288" w:before="0" w:after="0"/>
        <w:jc w:val="both"/>
        <w:rPr>
          <w:rStyle w:val="None"/>
          <w:rFonts w:ascii="Cambria" w:hAnsi="Cambria" w:eastAsia="Times New Roman" w:cs="Times New Roman"/>
          <w:b/>
          <w:b/>
          <w:bCs/>
          <w:color w:val="1B1B1B"/>
          <w:sz w:val="28"/>
          <w:szCs w:val="28"/>
          <w:highlight w:val="white"/>
        </w:rPr>
      </w:pPr>
      <w:r>
        <w:rPr>
          <w:rFonts w:eastAsia="Times New Roman" w:cs="Times New Roman" w:ascii="Cambria" w:hAnsi="Cambria"/>
          <w:b/>
          <w:bCs/>
          <w:color w:val="1B1B1B"/>
          <w:sz w:val="28"/>
          <w:szCs w:val="28"/>
          <w:highlight w:val="white"/>
        </w:rPr>
      </w:r>
    </w:p>
    <w:p>
      <w:pPr>
        <w:pStyle w:val="Default"/>
        <w:numPr>
          <w:ilvl w:val="0"/>
          <w:numId w:val="3"/>
        </w:numPr>
        <w:spacing w:lineRule="auto" w:line="288" w:before="0" w:after="0"/>
        <w:jc w:val="both"/>
        <w:rPr>
          <w:rFonts w:ascii="Cambria" w:hAnsi="Cambria" w:eastAsia="Times New Roman" w:cs="Times New Roman"/>
          <w:color w:val="1B1B1B"/>
          <w:sz w:val="28"/>
          <w:szCs w:val="28"/>
          <w:highlight w:val="white"/>
        </w:rPr>
      </w:pPr>
      <w:r>
        <w:rPr>
          <w:rFonts w:ascii="Cambria" w:hAnsi="Cambria"/>
          <w:color w:val="1B1B1B"/>
          <w:sz w:val="28"/>
          <w:szCs w:val="28"/>
          <w:shd w:fill="FFFFFF" w:val="clear"/>
        </w:rPr>
        <w:t>Applicants wishing to pursue performing arts course should upload the l</w:t>
      </w:r>
      <w:r>
        <w:rPr>
          <w:rStyle w:val="None"/>
          <w:rFonts w:ascii="Cambria" w:hAnsi="Cambria"/>
          <w:b/>
          <w:bCs/>
          <w:color w:val="1B1B1B"/>
          <w:sz w:val="28"/>
          <w:szCs w:val="28"/>
          <w:shd w:fill="FFFFFF" w:val="clear"/>
          <w:lang w:val="de-DE"/>
        </w:rPr>
        <w:t>atest Video/Aud</w:t>
      </w:r>
      <w:r>
        <w:rPr>
          <w:rStyle w:val="None"/>
          <w:rFonts w:ascii="Cambria" w:hAnsi="Cambria"/>
          <w:b/>
          <w:bCs/>
          <w:color w:val="1B1B1B"/>
          <w:sz w:val="28"/>
          <w:szCs w:val="28"/>
          <w:shd w:fill="FFFFFF" w:val="clear"/>
        </w:rPr>
        <w:t xml:space="preserve">io/Youtube link </w:t>
      </w:r>
      <w:r>
        <w:rPr>
          <w:rFonts w:ascii="Cambria" w:hAnsi="Cambria"/>
          <w:color w:val="1B1B1B"/>
          <w:sz w:val="28"/>
          <w:szCs w:val="28"/>
          <w:shd w:fill="FFFFFF" w:val="clear"/>
        </w:rPr>
        <w:t>of their performances.</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3"/>
        </w:numPr>
        <w:spacing w:lineRule="auto" w:line="288" w:before="0" w:after="0"/>
        <w:jc w:val="both"/>
        <w:rPr>
          <w:rFonts w:ascii="Cambria" w:hAnsi="Cambria" w:eastAsia="Times New Roman" w:cs="Times New Roman"/>
          <w:color w:val="1B1B1B"/>
          <w:sz w:val="28"/>
          <w:szCs w:val="28"/>
          <w:highlight w:val="white"/>
        </w:rPr>
      </w:pPr>
      <w:r>
        <w:rPr>
          <w:rFonts w:ascii="Cambria" w:hAnsi="Cambria"/>
          <w:color w:val="1B1B1B"/>
          <w:sz w:val="28"/>
          <w:szCs w:val="28"/>
          <w:shd w:fill="FFFFFF" w:val="clear"/>
        </w:rPr>
        <w:t>Student has the option of applying i</w:t>
      </w:r>
      <w:r>
        <w:rPr>
          <w:rStyle w:val="None"/>
          <w:rFonts w:ascii="Cambria" w:hAnsi="Cambria"/>
          <w:b/>
          <w:bCs/>
          <w:color w:val="1B1B1B"/>
          <w:sz w:val="28"/>
          <w:szCs w:val="28"/>
          <w:shd w:fill="FFFFFF" w:val="clear"/>
        </w:rPr>
        <w:t xml:space="preserve">n 5 Universities/institutes </w:t>
      </w:r>
      <w:r>
        <w:rPr>
          <w:rStyle w:val="None"/>
          <w:rFonts w:ascii="Cambria" w:hAnsi="Cambria"/>
          <w:bCs/>
          <w:color w:val="1B1B1B"/>
          <w:sz w:val="28"/>
          <w:szCs w:val="28"/>
          <w:shd w:fill="FFFFFF" w:val="clear"/>
        </w:rPr>
        <w:t xml:space="preserve">of his/her choice in preferential order. </w:t>
      </w:r>
      <w:r>
        <w:rPr>
          <w:rFonts w:ascii="Cambria" w:hAnsi="Cambria"/>
          <w:color w:val="1B1B1B"/>
          <w:sz w:val="28"/>
          <w:szCs w:val="28"/>
          <w:shd w:fill="FFFFFF" w:val="clear"/>
        </w:rPr>
        <w:t>Indian Universities/ Educational institutions are autonomous and independent bodies and have their own eligibility criteria on the basis of which they confirm admissions.</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ascii="Cambria" w:hAnsi="Cambria"/>
          <w:b/>
          <w:bCs/>
          <w:color w:val="1B1B1B"/>
          <w:sz w:val="28"/>
          <w:szCs w:val="28"/>
          <w:shd w:fill="FFFFFF" w:val="clear"/>
        </w:rPr>
        <w:t>Detailed Guidelines</w:t>
      </w:r>
      <w:r>
        <w:rPr>
          <w:rStyle w:val="None"/>
          <w:rFonts w:ascii="Cambria" w:hAnsi="Cambria"/>
          <w:color w:val="1B1B1B"/>
          <w:sz w:val="28"/>
          <w:szCs w:val="28"/>
          <w:shd w:fill="FFFFFF" w:val="clear"/>
        </w:rPr>
        <w:t xml:space="preserve"> are available at:</w:t>
      </w:r>
    </w:p>
    <w:p>
      <w:pPr>
        <w:pStyle w:val="Default"/>
        <w:spacing w:lineRule="auto" w:line="288" w:before="0" w:after="0"/>
        <w:jc w:val="both"/>
        <w:rPr/>
      </w:pPr>
      <w:hyperlink r:id="rId5">
        <w:r>
          <w:rPr>
            <w:rStyle w:val="Hyperlink1"/>
            <w:rFonts w:ascii="Cambria" w:hAnsi="Cambria"/>
            <w:color w:val="416ED2"/>
            <w:sz w:val="28"/>
            <w:szCs w:val="28"/>
            <w:shd w:fill="FFFFFF" w:val="clear"/>
          </w:rPr>
          <w:t>http://a2ascholarships.iccr.gov.in/</w:t>
        </w:r>
      </w:hyperlink>
    </w:p>
    <w:p>
      <w:pPr>
        <w:pStyle w:val="Default"/>
        <w:spacing w:lineRule="auto" w:line="288" w:before="0" w:after="0"/>
        <w:jc w:val="both"/>
        <w:rPr>
          <w:rStyle w:val="None"/>
          <w:rFonts w:ascii="Cambria" w:hAnsi="Cambria"/>
          <w:color w:val="1B1B1B"/>
          <w:sz w:val="28"/>
          <w:szCs w:val="28"/>
          <w:highlight w:val="white"/>
        </w:rPr>
      </w:pPr>
      <w:r>
        <w:rPr>
          <w:rFonts w:ascii="Cambria" w:hAnsi="Cambria"/>
          <w:color w:val="1B1B1B"/>
          <w:sz w:val="28"/>
          <w:szCs w:val="28"/>
          <w:highlight w:val="white"/>
        </w:rPr>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Style w:val="None"/>
          <w:rFonts w:ascii="Cambria" w:hAnsi="Cambria"/>
          <w:color w:val="1B1B1B"/>
          <w:sz w:val="28"/>
          <w:szCs w:val="28"/>
          <w:shd w:fill="FFFFFF" w:val="clear"/>
        </w:rPr>
        <w:t xml:space="preserve">For </w:t>
      </w:r>
      <w:r>
        <w:rPr>
          <w:rFonts w:ascii="Cambria" w:hAnsi="Cambria"/>
          <w:b/>
          <w:bCs/>
          <w:color w:val="1B1B1B"/>
          <w:sz w:val="28"/>
          <w:szCs w:val="28"/>
          <w:shd w:fill="FFFFFF" w:val="clear"/>
        </w:rPr>
        <w:t>instructions for Applicants:</w:t>
      </w:r>
    </w:p>
    <w:p>
      <w:pPr>
        <w:pStyle w:val="Default"/>
        <w:spacing w:lineRule="auto" w:line="288" w:before="0" w:after="0"/>
        <w:jc w:val="both"/>
        <w:rPr/>
      </w:pPr>
      <w:hyperlink r:id="rId6">
        <w:r>
          <w:rPr>
            <w:rStyle w:val="Hyperlink1"/>
            <w:rFonts w:ascii="Cambria" w:hAnsi="Cambria"/>
            <w:color w:val="416ED2"/>
            <w:sz w:val="28"/>
            <w:szCs w:val="28"/>
            <w:shd w:fill="FFFFFF" w:val="clear"/>
          </w:rPr>
          <w:t>http://a2ascholarships.iccr.gov.in/assets/site/docs/applicant_guidelines_b eforefilling.pdf</w:t>
        </w:r>
      </w:hyperlink>
    </w:p>
    <w:p>
      <w:pPr>
        <w:pStyle w:val="Default"/>
        <w:spacing w:lineRule="auto" w:line="288" w:before="0" w:after="0"/>
        <w:jc w:val="both"/>
        <w:rPr>
          <w:rFonts w:ascii="Cambria" w:hAnsi="Cambria"/>
          <w:color w:val="1B1B1B"/>
          <w:sz w:val="28"/>
          <w:szCs w:val="28"/>
          <w:highlight w:val="white"/>
        </w:rPr>
      </w:pPr>
      <w:r>
        <w:rPr>
          <w:rFonts w:ascii="Cambria" w:hAnsi="Cambria"/>
          <w:color w:val="1B1B1B"/>
          <w:sz w:val="28"/>
          <w:szCs w:val="28"/>
          <w:highlight w:val="white"/>
        </w:rPr>
      </w:r>
    </w:p>
    <w:p>
      <w:pPr>
        <w:pStyle w:val="Default"/>
        <w:spacing w:lineRule="auto" w:line="288" w:before="0" w:after="0"/>
        <w:jc w:val="both"/>
        <w:rPr>
          <w:rFonts w:ascii="Cambria" w:hAnsi="Cambria" w:eastAsia="Times New Roman" w:cs="Times New Roman"/>
          <w:color w:val="1B1B1B"/>
          <w:sz w:val="28"/>
          <w:szCs w:val="28"/>
          <w:highlight w:val="white"/>
        </w:rPr>
      </w:pPr>
      <w:r>
        <w:rPr>
          <w:rFonts w:ascii="Cambria" w:hAnsi="Cambria"/>
          <w:color w:val="1B1B1B"/>
          <w:sz w:val="28"/>
          <w:szCs w:val="28"/>
          <w:shd w:fill="FFFFFF" w:val="clear"/>
        </w:rPr>
        <w:t xml:space="preserve">For </w:t>
      </w:r>
      <w:r>
        <w:rPr>
          <w:rStyle w:val="None"/>
          <w:rFonts w:ascii="Cambria" w:hAnsi="Cambria"/>
          <w:b/>
          <w:bCs/>
          <w:color w:val="1B1B1B"/>
          <w:sz w:val="28"/>
          <w:szCs w:val="28"/>
          <w:shd w:fill="FFFFFF" w:val="clear"/>
          <w:lang w:val="de-DE"/>
        </w:rPr>
        <w:t>FAQ´</w:t>
      </w:r>
      <w:r>
        <w:rPr>
          <w:rStyle w:val="None"/>
          <w:rFonts w:ascii="Cambria" w:hAnsi="Cambria"/>
          <w:b/>
          <w:bCs/>
          <w:color w:val="1B1B1B"/>
          <w:sz w:val="28"/>
          <w:szCs w:val="28"/>
          <w:shd w:fill="FFFFFF" w:val="clear"/>
        </w:rPr>
        <w:t>s,</w:t>
      </w:r>
      <w:r>
        <w:rPr>
          <w:rFonts w:ascii="Cambria" w:hAnsi="Cambria"/>
          <w:color w:val="1B1B1B"/>
          <w:sz w:val="28"/>
          <w:szCs w:val="28"/>
          <w:shd w:fill="FFFFFF" w:val="clear"/>
        </w:rPr>
        <w:t xml:space="preserve"> kindly refer to the link below:</w:t>
      </w:r>
    </w:p>
    <w:p>
      <w:pPr>
        <w:pStyle w:val="Default"/>
        <w:spacing w:lineRule="auto" w:line="288" w:before="0" w:after="0"/>
        <w:jc w:val="both"/>
        <w:rPr/>
      </w:pPr>
      <w:hyperlink r:id="rId7">
        <w:r>
          <w:rPr>
            <w:rStyle w:val="Hyperlink1"/>
            <w:rFonts w:ascii="Cambria" w:hAnsi="Cambria"/>
            <w:color w:val="416ED2"/>
            <w:sz w:val="28"/>
            <w:szCs w:val="28"/>
            <w:shd w:fill="FFFFFF" w:val="clear"/>
          </w:rPr>
          <w:t>http://a2ascholarships.iccr.gov.in/home/page/faq</w:t>
        </w:r>
      </w:hyperlink>
    </w:p>
    <w:p>
      <w:pPr>
        <w:pStyle w:val="Default"/>
        <w:spacing w:lineRule="auto" w:line="288" w:before="0" w:after="0"/>
        <w:jc w:val="both"/>
        <w:rPr>
          <w:rStyle w:val="None"/>
          <w:rFonts w:ascii="Cambria" w:hAnsi="Cambria"/>
          <w:color w:val="1B1B1B"/>
          <w:sz w:val="28"/>
          <w:szCs w:val="28"/>
          <w:highlight w:val="white"/>
        </w:rPr>
      </w:pPr>
      <w:r>
        <w:rPr>
          <w:rFonts w:ascii="Cambria" w:hAnsi="Cambria"/>
          <w:color w:val="1B1B1B"/>
          <w:sz w:val="28"/>
          <w:szCs w:val="28"/>
          <w:highlight w:val="white"/>
        </w:rPr>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Style w:val="None"/>
          <w:rFonts w:ascii="Cambria" w:hAnsi="Cambria"/>
          <w:color w:val="1B1B1B"/>
          <w:sz w:val="28"/>
          <w:szCs w:val="28"/>
          <w:shd w:fill="FFFFFF" w:val="clear"/>
        </w:rPr>
        <w:t xml:space="preserve">For information on </w:t>
      </w:r>
      <w:r>
        <w:rPr>
          <w:rFonts w:ascii="Cambria" w:hAnsi="Cambria"/>
          <w:b/>
          <w:bCs/>
          <w:color w:val="1B1B1B"/>
          <w:sz w:val="28"/>
          <w:szCs w:val="28"/>
          <w:shd w:fill="FFFFFF" w:val="clear"/>
        </w:rPr>
        <w:t>Financial Terms and Conditions</w:t>
      </w:r>
      <w:r>
        <w:rPr>
          <w:rStyle w:val="None"/>
          <w:rFonts w:ascii="Cambria" w:hAnsi="Cambria"/>
          <w:color w:val="1B1B1B"/>
          <w:sz w:val="28"/>
          <w:szCs w:val="28"/>
          <w:shd w:fill="FFFFFF" w:val="clear"/>
        </w:rPr>
        <w:t>, please refer to link below:</w:t>
      </w:r>
    </w:p>
    <w:p>
      <w:pPr>
        <w:pStyle w:val="Default"/>
        <w:spacing w:lineRule="auto" w:line="288" w:before="0" w:after="0"/>
        <w:jc w:val="both"/>
        <w:rPr/>
      </w:pPr>
      <w:hyperlink r:id="rId8">
        <w:r>
          <w:rPr>
            <w:rStyle w:val="Hyperlink1"/>
            <w:rFonts w:ascii="Cambria" w:hAnsi="Cambria"/>
            <w:color w:val="416ED2"/>
            <w:sz w:val="28"/>
            <w:szCs w:val="28"/>
            <w:shd w:fill="FFFFFF" w:val="clear"/>
          </w:rPr>
          <w:t>http://a2ascholarships.iccr.gov.in/assets/site/docs/Financial_Terms.pdf</w:t>
        </w:r>
      </w:hyperlink>
    </w:p>
    <w:p>
      <w:pPr>
        <w:pStyle w:val="Default"/>
        <w:spacing w:lineRule="auto" w:line="288" w:before="0" w:after="0"/>
        <w:jc w:val="both"/>
        <w:rPr>
          <w:rFonts w:ascii="Cambria" w:hAnsi="Cambria"/>
          <w:color w:val="1B1B1B"/>
          <w:sz w:val="28"/>
          <w:szCs w:val="28"/>
          <w:highlight w:val="white"/>
        </w:rPr>
      </w:pPr>
      <w:r>
        <w:rPr>
          <w:rFonts w:ascii="Cambria" w:hAnsi="Cambria"/>
          <w:color w:val="1B1B1B"/>
          <w:sz w:val="28"/>
          <w:szCs w:val="28"/>
          <w:highlight w:val="white"/>
        </w:rPr>
      </w:r>
    </w:p>
    <w:p>
      <w:pPr>
        <w:pStyle w:val="Default"/>
        <w:spacing w:lineRule="auto" w:line="288" w:before="0" w:after="0"/>
        <w:jc w:val="both"/>
        <w:rPr/>
      </w:pPr>
      <w:r>
        <w:rPr>
          <w:rFonts w:ascii="Cambria" w:hAnsi="Cambria"/>
          <w:color w:val="1B1B1B"/>
          <w:sz w:val="28"/>
          <w:szCs w:val="28"/>
          <w:shd w:fill="FFFFFF" w:val="clear"/>
        </w:rPr>
        <w:t xml:space="preserve">For any further queries, interested students should contact the Culture Wing of the Embassy of India in Madrid by email to </w:t>
      </w:r>
      <w:r>
        <w:rPr>
          <w:rFonts w:ascii="Cambria" w:hAnsi="Cambria"/>
          <w:color w:val="0070C0"/>
          <w:sz w:val="28"/>
          <w:szCs w:val="28"/>
          <w:shd w:fill="FFFFFF" w:val="clear"/>
        </w:rPr>
        <w:t>ss</w:t>
      </w:r>
      <w:hyperlink r:id="rId9">
        <w:r>
          <w:rPr>
            <w:rStyle w:val="Hyperlink0"/>
            <w:rFonts w:ascii="Cambria" w:hAnsi="Cambria"/>
            <w:color w:val="0070C0"/>
            <w:sz w:val="28"/>
            <w:szCs w:val="28"/>
            <w:highlight w:val="white"/>
          </w:rPr>
          <w:t>cul.madrid@mea.gov.in</w:t>
        </w:r>
      </w:hyperlink>
      <w:r>
        <w:rPr>
          <w:rFonts w:ascii="Cambria" w:hAnsi="Cambria"/>
          <w:color w:val="1B1B1B"/>
          <w:sz w:val="28"/>
          <w:szCs w:val="28"/>
          <w:shd w:fill="FFFFFF" w:val="clear"/>
        </w:rPr>
        <w:t xml:space="preserve"> and </w:t>
      </w:r>
      <w:r>
        <w:rPr>
          <w:rStyle w:val="Hyperlink0"/>
          <w:rFonts w:ascii="Cambria" w:hAnsi="Cambria"/>
          <w:sz w:val="28"/>
          <w:szCs w:val="28"/>
          <w:highlight w:val="white"/>
        </w:rPr>
        <w:t>tic.madrid@mea.gov.in</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shd w:fill="FFFFFF" w:val="clear"/>
        </w:rPr>
        <w:t>ICCR Scholarship Scheme for PhD Programme</w:t>
      </w:r>
    </w:p>
    <w:p>
      <w:pPr>
        <w:pStyle w:val="Default"/>
        <w:spacing w:lineRule="auto" w:line="288" w:before="0" w:after="0"/>
        <w:jc w:val="both"/>
        <w:rPr>
          <w:rFonts w:ascii="Cambria" w:hAnsi="Cambria" w:eastAsia="Times New Roman" w:cs="Times New Roman"/>
          <w:b/>
          <w:b/>
          <w:bCs/>
          <w:color w:val="1B1B1B"/>
          <w:sz w:val="28"/>
          <w:szCs w:val="28"/>
          <w:highlight w:val="white"/>
        </w:rPr>
      </w:pPr>
      <w:r>
        <w:rPr>
          <w:rFonts w:eastAsia="Times New Roman" w:cs="Times New Roman" w:ascii="Cambria" w:hAnsi="Cambria"/>
          <w:b/>
          <w:bCs/>
          <w:color w:val="1B1B1B"/>
          <w:sz w:val="28"/>
          <w:szCs w:val="28"/>
          <w:highlight w:val="white"/>
        </w:rPr>
      </w:r>
    </w:p>
    <w:p>
      <w:pPr>
        <w:pStyle w:val="Default"/>
        <w:spacing w:lineRule="auto" w:line="288" w:before="6958" w:after="0"/>
        <w:jc w:val="both"/>
        <w:rPr>
          <w:rFonts w:ascii="Cambria" w:hAnsi="Cambria" w:eastAsia="Times New Roman" w:cs="Times New Roman"/>
          <w:b/>
          <w:b/>
          <w:bCs/>
          <w:color w:val="1B1B1B"/>
          <w:sz w:val="28"/>
          <w:szCs w:val="28"/>
          <w:highlight w:val="white"/>
        </w:rPr>
      </w:pPr>
      <w:r>
        <w:rPr>
          <w:rFonts w:eastAsia="Times New Roman" w:cs="Times New Roman" w:ascii="Cambria" w:hAnsi="Cambria"/>
          <w:b/>
          <w:bCs/>
          <w:color w:val="1B1B1B"/>
          <w:sz w:val="28"/>
          <w:szCs w:val="28"/>
          <w:highlight w:val="white"/>
        </w:rPr>
        <mc:AlternateContent>
          <mc:Choice Requires="wps">
            <w:drawing>
              <wp:anchor behindDoc="0" distT="0" distB="0" distL="114300" distR="114300" simplePos="0" locked="0" layoutInCell="1" allowOverlap="1" relativeHeight="3" wp14:anchorId="266FD7C6">
                <wp:simplePos x="0" y="0"/>
                <wp:positionH relativeFrom="column">
                  <wp:posOffset>1924050</wp:posOffset>
                </wp:positionH>
                <wp:positionV relativeFrom="paragraph">
                  <wp:posOffset>3937635</wp:posOffset>
                </wp:positionV>
                <wp:extent cx="1831975" cy="741680"/>
                <wp:effectExtent l="0" t="0" r="0" b="0"/>
                <wp:wrapSquare wrapText="bothSides"/>
                <wp:docPr id="4" name="Text Box 4"/>
                <a:graphic xmlns:a="http://schemas.openxmlformats.org/drawingml/2006/main">
                  <a:graphicData uri="http://schemas.microsoft.com/office/word/2010/wordprocessingShape">
                    <wps:wsp>
                      <wps:cNvSpPr/>
                      <wps:spPr>
                        <a:xfrm>
                          <a:off x="0" y="0"/>
                          <a:ext cx="1831320" cy="740880"/>
                        </a:xfrm>
                        <a:prstGeom prst="rect">
                          <a:avLst/>
                        </a:prstGeom>
                        <a:noFill/>
                        <a:ln w="6480">
                          <a:solidFill>
                            <a:srgbClr val="000000"/>
                          </a:solidFill>
                          <a:round/>
                        </a:ln>
                      </wps:spPr>
                      <wps:style>
                        <a:lnRef idx="0"/>
                        <a:fillRef idx="0"/>
                        <a:effectRef idx="0"/>
                        <a:fontRef idx="minor"/>
                      </wps:style>
                      <wps:txbx>
                        <w:txbxContent>
                          <w:p>
                            <w:pPr>
                              <w:pStyle w:val="Default"/>
                              <w:spacing w:lineRule="auto" w:line="288" w:before="160" w:after="0"/>
                              <w:jc w:val="both"/>
                              <w:rPr/>
                            </w:pPr>
                            <w:r>
                              <w:rPr>
                                <w:rFonts w:ascii="Cambria" w:hAnsi="Cambria"/>
                                <w:b/>
                                <w:bCs/>
                                <w:color w:val="941100"/>
                                <w:sz w:val="28"/>
                                <w:szCs w:val="28"/>
                                <w:shd w:fill="FFFFFF" w:val="clear"/>
                              </w:rPr>
                              <w:t>Last Date to apply: May 30, 2021</w:t>
                            </w:r>
                          </w:p>
                        </w:txbxContent>
                      </wps:txbx>
                      <wps:bodyPr>
                        <a:prstTxWarp prst="textNoShape"/>
                        <a:spAutoFit/>
                      </wps:bodyPr>
                    </wps:wsp>
                  </a:graphicData>
                </a:graphic>
              </wp:anchor>
            </w:drawing>
          </mc:Choice>
          <mc:Fallback>
            <w:pict>
              <v:rect id="shape_0" ID="Text Box 4" stroked="t" style="position:absolute;margin-left:151.5pt;margin-top:310.05pt;width:144.15pt;height:58.3pt" wp14:anchorId="266FD7C6">
                <w10:wrap type="square"/>
                <v:fill o:detectmouseclick="t" on="false"/>
                <v:stroke color="black" weight="6480" joinstyle="round" endcap="flat"/>
                <v:textbox>
                  <w:txbxContent>
                    <w:p>
                      <w:pPr>
                        <w:pStyle w:val="Default"/>
                        <w:spacing w:lineRule="auto" w:line="288" w:before="160" w:after="0"/>
                        <w:jc w:val="both"/>
                        <w:rPr/>
                      </w:pPr>
                      <w:r>
                        <w:rPr>
                          <w:rFonts w:ascii="Cambria" w:hAnsi="Cambria"/>
                          <w:b/>
                          <w:bCs/>
                          <w:color w:val="941100"/>
                          <w:sz w:val="28"/>
                          <w:szCs w:val="28"/>
                          <w:shd w:fill="FFFFFF" w:val="clear"/>
                        </w:rPr>
                        <w:t>Last Date to apply: May 30, 2021</w:t>
                      </w:r>
                    </w:p>
                  </w:txbxContent>
                </v:textbox>
              </v:rect>
            </w:pict>
          </mc:Fallback>
        </mc:AlternateContent>
        <w:drawing>
          <wp:anchor behindDoc="0" distT="0" distB="0" distL="0" distR="0" simplePos="0" locked="0" layoutInCell="1" allowOverlap="1" relativeHeight="6">
            <wp:simplePos x="0" y="0"/>
            <wp:positionH relativeFrom="column">
              <wp:align>center</wp:align>
            </wp:positionH>
            <wp:positionV relativeFrom="paragraph">
              <wp:posOffset>635</wp:posOffset>
            </wp:positionV>
            <wp:extent cx="6120130" cy="3676650"/>
            <wp:effectExtent l="0" t="0" r="0" b="0"/>
            <wp:wrapSquare wrapText="largest"/>
            <wp:docPr id="6"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 descr=""/>
                    <pic:cNvPicPr>
                      <a:picLocks noChangeAspect="1" noChangeArrowheads="1"/>
                    </pic:cNvPicPr>
                  </pic:nvPicPr>
                  <pic:blipFill>
                    <a:blip r:embed="rId10"/>
                    <a:stretch>
                      <a:fillRect/>
                    </a:stretch>
                  </pic:blipFill>
                  <pic:spPr bwMode="auto">
                    <a:xfrm>
                      <a:off x="0" y="0"/>
                      <a:ext cx="6120130" cy="3676650"/>
                    </a:xfrm>
                    <a:prstGeom prst="rect">
                      <a:avLst/>
                    </a:prstGeom>
                  </pic:spPr>
                </pic:pic>
              </a:graphicData>
            </a:graphic>
          </wp:anchor>
        </w:drawing>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Style w:val="None"/>
          <w:rFonts w:ascii="Cambria" w:hAnsi="Cambria" w:eastAsia="Times New Roman" w:cs="Times New Roman"/>
          <w:b/>
          <w:b/>
          <w:bCs/>
          <w:color w:val="1B1B1B"/>
          <w:sz w:val="28"/>
          <w:szCs w:val="28"/>
          <w:highlight w:val="white"/>
        </w:rPr>
      </w:pPr>
      <w:r>
        <w:rPr>
          <w:rFonts w:eastAsia="Times New Roman" w:cs="Times New Roman" w:ascii="Cambria" w:hAnsi="Cambria"/>
          <w:b/>
          <w:bCs/>
          <w:color w:val="1B1B1B"/>
          <w:sz w:val="28"/>
          <w:szCs w:val="28"/>
          <w:highlight w:val="white"/>
        </w:rPr>
      </w:r>
    </w:p>
    <w:p>
      <w:pPr>
        <w:pStyle w:val="Default"/>
        <w:spacing w:lineRule="auto" w:line="288" w:before="0" w:after="0"/>
        <w:jc w:val="both"/>
        <w:rPr>
          <w:rStyle w:val="None"/>
          <w:rFonts w:ascii="Cambria" w:hAnsi="Cambria" w:eastAsia="Times New Roman" w:cs="Times New Roman"/>
          <w:b/>
          <w:b/>
          <w:bCs/>
          <w:color w:val="1B1B1B"/>
          <w:sz w:val="28"/>
          <w:szCs w:val="28"/>
          <w:highlight w:val="white"/>
        </w:rPr>
      </w:pPr>
      <w:r>
        <w:rPr>
          <w:rFonts w:eastAsia="Times New Roman" w:cs="Times New Roman" w:ascii="Cambria" w:hAnsi="Cambria"/>
          <w:b/>
          <w:bCs/>
          <w:color w:val="1B1B1B"/>
          <w:sz w:val="28"/>
          <w:szCs w:val="28"/>
          <w:highlight w:val="white"/>
        </w:rPr>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ind w:firstLine="720"/>
        <w:jc w:val="both"/>
        <w:rPr>
          <w:rFonts w:ascii="Cambria" w:hAnsi="Cambria"/>
          <w:color w:val="1B1B1B"/>
          <w:sz w:val="28"/>
          <w:szCs w:val="28"/>
          <w:highlight w:val="white"/>
        </w:rPr>
      </w:pPr>
      <w:r>
        <w:rPr>
          <w:rFonts w:ascii="Cambria" w:hAnsi="Cambria"/>
          <w:color w:val="1B1B1B"/>
          <w:sz w:val="28"/>
          <w:szCs w:val="28"/>
          <w:shd w:fill="FFFFFF" w:val="clear"/>
        </w:rPr>
        <w:t xml:space="preserve">The Government of India under the aegis of the Indian Council for Cultural Relations (ICCR) is offering five scholarship slots to Spain under the framework of the Cultural Exchange Programme/Educational Exchange Programme for pursuing PhD doctoral courses. </w:t>
      </w:r>
    </w:p>
    <w:p>
      <w:pPr>
        <w:pStyle w:val="Default"/>
        <w:spacing w:lineRule="auto" w:line="288" w:before="0" w:after="0"/>
        <w:ind w:firstLine="720"/>
        <w:jc w:val="both"/>
        <w:rPr>
          <w:rFonts w:ascii="Cambria" w:hAnsi="Cambria"/>
          <w:color w:val="1B1B1B"/>
          <w:sz w:val="28"/>
          <w:szCs w:val="28"/>
          <w:highlight w:val="white"/>
        </w:rPr>
      </w:pPr>
      <w:r>
        <w:rPr>
          <w:rFonts w:ascii="Cambria" w:hAnsi="Cambria"/>
          <w:color w:val="1B1B1B"/>
          <w:sz w:val="28"/>
          <w:szCs w:val="28"/>
          <w:highlight w:val="white"/>
        </w:rPr>
      </w:r>
    </w:p>
    <w:p>
      <w:pPr>
        <w:pStyle w:val="Default"/>
        <w:spacing w:lineRule="auto" w:line="288" w:before="0" w:after="0"/>
        <w:jc w:val="both"/>
        <w:rPr>
          <w:rFonts w:ascii="Cambria" w:hAnsi="Cambria" w:eastAsia="Times New Roman" w:cs="Times New Roman"/>
          <w:bCs/>
          <w:color w:val="1B1B1B"/>
          <w:sz w:val="28"/>
          <w:szCs w:val="28"/>
          <w:highlight w:val="white"/>
        </w:rPr>
      </w:pPr>
      <w:r>
        <w:rPr>
          <w:rFonts w:ascii="Cambria" w:hAnsi="Cambria"/>
          <w:color w:val="1B1B1B"/>
          <w:sz w:val="28"/>
          <w:szCs w:val="28"/>
          <w:shd w:fill="FFFFFF" w:val="clear"/>
        </w:rPr>
        <w:t xml:space="preserve">The applicants should be </w:t>
      </w:r>
      <w:r>
        <w:rPr>
          <w:rFonts w:ascii="Cambria" w:hAnsi="Cambria"/>
          <w:bCs/>
          <w:color w:val="1B1B1B"/>
          <w:sz w:val="28"/>
          <w:szCs w:val="28"/>
          <w:shd w:fill="FFFFFF" w:val="clear"/>
        </w:rPr>
        <w:t>within the</w:t>
      </w:r>
      <w:r>
        <w:rPr>
          <w:rFonts w:ascii="Cambria" w:hAnsi="Cambria"/>
          <w:b/>
          <w:bCs/>
          <w:color w:val="1B1B1B"/>
          <w:sz w:val="28"/>
          <w:szCs w:val="28"/>
          <w:shd w:fill="FFFFFF" w:val="clear"/>
        </w:rPr>
        <w:t xml:space="preserve"> age of 18-30 </w:t>
      </w:r>
      <w:r>
        <w:rPr>
          <w:rFonts w:ascii="Cambria" w:hAnsi="Cambria"/>
          <w:bCs/>
          <w:color w:val="1B1B1B"/>
          <w:sz w:val="28"/>
          <w:szCs w:val="28"/>
          <w:shd w:fill="FFFFFF" w:val="clear"/>
        </w:rPr>
        <w:t>years (relaxation upto 45 years) to be eligible for this scholarship.</w:t>
      </w:r>
    </w:p>
    <w:p>
      <w:pPr>
        <w:pStyle w:val="Default"/>
        <w:spacing w:lineRule="auto" w:line="288" w:before="0" w:after="0"/>
        <w:ind w:firstLine="720"/>
        <w:jc w:val="both"/>
        <w:rPr>
          <w:rFonts w:ascii="Cambria" w:hAnsi="Cambria"/>
          <w:color w:val="1B1B1B"/>
          <w:sz w:val="28"/>
          <w:szCs w:val="28"/>
          <w:highlight w:val="white"/>
        </w:rPr>
      </w:pPr>
      <w:r>
        <w:rPr>
          <w:rFonts w:ascii="Cambria" w:hAnsi="Cambria"/>
          <w:color w:val="1B1B1B"/>
          <w:sz w:val="28"/>
          <w:szCs w:val="28"/>
          <w:highlight w:val="white"/>
        </w:rPr>
      </w:r>
    </w:p>
    <w:p>
      <w:pPr>
        <w:pStyle w:val="Default"/>
        <w:spacing w:lineRule="auto" w:line="288" w:before="0" w:after="0"/>
        <w:jc w:val="both"/>
        <w:rPr/>
      </w:pPr>
      <w:r>
        <w:rPr>
          <w:rFonts w:ascii="Cambria" w:hAnsi="Cambria"/>
          <w:color w:val="1B1B1B"/>
          <w:sz w:val="28"/>
          <w:szCs w:val="28"/>
          <w:shd w:fill="FFFFFF" w:val="clear"/>
        </w:rPr>
        <w:t xml:space="preserve">Applicants are requested to log onto "Admissions to Alumni" (A2A), the Scholarship Portal developed by ICCR at </w:t>
      </w:r>
      <w:hyperlink r:id="rId11">
        <w:r>
          <w:rPr>
            <w:rStyle w:val="Hyperlink0"/>
            <w:rFonts w:ascii="Cambria" w:hAnsi="Cambria"/>
            <w:sz w:val="28"/>
            <w:szCs w:val="28"/>
            <w:highlight w:val="white"/>
          </w:rPr>
          <w:t>http://a2ascholarships.iccr.gov.in/</w:t>
        </w:r>
      </w:hyperlink>
      <w:r>
        <w:rPr>
          <w:rFonts w:ascii="Cambria" w:hAnsi="Cambria"/>
          <w:color w:val="1B1B1B"/>
          <w:sz w:val="28"/>
          <w:szCs w:val="28"/>
          <w:shd w:fill="FFFFFF" w:val="clear"/>
        </w:rPr>
        <w:t xml:space="preserve"> </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eastAsia="Times New Roman" w:cs="Times New Roman"/>
          <w:color w:val="1B1B1B"/>
          <w:sz w:val="28"/>
          <w:szCs w:val="28"/>
          <w:highlight w:val="white"/>
        </w:rPr>
      </w:pPr>
      <w:r>
        <w:rPr>
          <w:rFonts w:ascii="Cambria" w:hAnsi="Cambria"/>
          <w:color w:val="1B1B1B"/>
          <w:sz w:val="28"/>
          <w:szCs w:val="28"/>
          <w:shd w:fill="FFFFFF" w:val="clear"/>
        </w:rPr>
        <w:t>List of Universities and lists of courses offered in various universities may be referred to on University websites by the applicants. List is given in the A2A Portal. This is to avoid time delays in processing applications, in case the course desired by an applicant is not available in a particular university. A2A Portal also provides web links of each university and courses offered by them at the time of filling the application and selection of university and course.</w:t>
      </w:r>
    </w:p>
    <w:p>
      <w:pPr>
        <w:pStyle w:val="Default"/>
        <w:spacing w:lineRule="auto" w:line="288" w:before="0" w:after="0"/>
        <w:jc w:val="both"/>
        <w:rPr>
          <w:rFonts w:ascii="Cambria" w:hAnsi="Cambria" w:eastAsia="Times New Roman" w:cs="Times New Roman"/>
          <w:b/>
          <w:b/>
          <w:bCs/>
          <w:color w:val="1B1B1B"/>
          <w:sz w:val="28"/>
          <w:szCs w:val="28"/>
          <w:highlight w:val="white"/>
        </w:rPr>
      </w:pPr>
      <w:r>
        <w:rPr>
          <w:rFonts w:ascii="Cambria" w:hAnsi="Cambria"/>
          <w:b/>
          <w:bCs/>
          <w:color w:val="1B1B1B"/>
          <w:sz w:val="28"/>
          <w:szCs w:val="28"/>
          <w:shd w:fill="FFFFFF" w:val="clear"/>
        </w:rPr>
        <w:t>Please carefully note the following:</w:t>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4"/>
        </w:numPr>
        <w:spacing w:lineRule="auto" w:line="288" w:before="0" w:after="0"/>
        <w:jc w:val="both"/>
        <w:rPr>
          <w:rFonts w:ascii="Cambria" w:hAnsi="Cambria"/>
          <w:color w:val="1B1B1B"/>
          <w:sz w:val="28"/>
          <w:szCs w:val="28"/>
          <w:highlight w:val="white"/>
          <w:lang w:val="fr-FR"/>
        </w:rPr>
      </w:pPr>
      <w:r>
        <w:rPr>
          <w:rFonts w:ascii="Cambria" w:hAnsi="Cambria"/>
          <w:color w:val="1B1B1B"/>
          <w:sz w:val="28"/>
          <w:szCs w:val="28"/>
          <w:shd w:fill="FFFFFF" w:val="clear"/>
        </w:rPr>
        <w:t xml:space="preserve">Applications should be submitted </w:t>
      </w:r>
      <w:r>
        <w:rPr>
          <w:rStyle w:val="None"/>
          <w:rFonts w:ascii="Cambria" w:hAnsi="Cambria"/>
          <w:b/>
          <w:bCs/>
          <w:color w:val="1B1B1B"/>
          <w:sz w:val="28"/>
          <w:szCs w:val="28"/>
          <w:shd w:fill="FFFFFF" w:val="clear"/>
        </w:rPr>
        <w:t xml:space="preserve">latest by 30th May 2021 </w:t>
      </w:r>
      <w:r>
        <w:rPr>
          <w:rFonts w:ascii="Cambria" w:hAnsi="Cambria"/>
          <w:color w:val="1B1B1B"/>
          <w:sz w:val="28"/>
          <w:szCs w:val="28"/>
          <w:shd w:fill="FFFFFF" w:val="clear"/>
        </w:rPr>
        <w:t xml:space="preserve">through the online application mechanism. </w:t>
      </w:r>
      <w:r>
        <w:rPr>
          <w:rFonts w:ascii="Cambria" w:hAnsi="Cambria"/>
          <w:color w:val="1B1B1B"/>
          <w:sz w:val="28"/>
          <w:szCs w:val="28"/>
          <w:shd w:fill="FFFFFF" w:val="clear"/>
          <w:lang w:val="fr-FR"/>
        </w:rPr>
        <w:t xml:space="preserve">Applications </w:t>
      </w:r>
      <w:r>
        <w:rPr>
          <w:rStyle w:val="None"/>
          <w:rFonts w:ascii="Cambria" w:hAnsi="Cambria"/>
          <w:b/>
          <w:bCs/>
          <w:color w:val="1B1B1B"/>
          <w:sz w:val="28"/>
          <w:szCs w:val="28"/>
          <w:shd w:fill="FFFFFF" w:val="clear"/>
        </w:rPr>
        <w:t xml:space="preserve">should be complete </w:t>
      </w:r>
      <w:r>
        <w:rPr>
          <w:rFonts w:ascii="Cambria" w:hAnsi="Cambria"/>
          <w:color w:val="1B1B1B"/>
          <w:sz w:val="28"/>
          <w:szCs w:val="28"/>
          <w:shd w:fill="FFFFFF" w:val="clear"/>
        </w:rPr>
        <w:t>in every detail. Kindly read the guidelines on the portal.</w:t>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4"/>
        </w:numPr>
        <w:spacing w:lineRule="auto" w:line="288" w:before="0" w:after="0"/>
        <w:jc w:val="both"/>
        <w:rPr/>
      </w:pPr>
      <w:r>
        <w:rPr>
          <w:rFonts w:ascii="Cambria" w:hAnsi="Cambria"/>
          <w:color w:val="1B1B1B"/>
          <w:sz w:val="28"/>
          <w:szCs w:val="28"/>
          <w:shd w:fill="FFFFFF" w:val="clear"/>
        </w:rPr>
        <w:t xml:space="preserve">Applicants are advised to </w:t>
      </w:r>
      <w:r>
        <w:rPr>
          <w:rStyle w:val="None"/>
          <w:rFonts w:ascii="Cambria" w:hAnsi="Cambria"/>
          <w:b/>
          <w:bCs/>
          <w:color w:val="1B1B1B"/>
          <w:sz w:val="28"/>
          <w:szCs w:val="28"/>
          <w:shd w:fill="FFFFFF" w:val="clear"/>
        </w:rPr>
        <w:t xml:space="preserve">go through the courses offered </w:t>
      </w:r>
      <w:r>
        <w:rPr>
          <w:rFonts w:ascii="Cambria" w:hAnsi="Cambria"/>
          <w:color w:val="1B1B1B"/>
          <w:sz w:val="28"/>
          <w:szCs w:val="28"/>
          <w:shd w:fill="FFFFFF" w:val="clear"/>
        </w:rPr>
        <w:t>by the Universities carefully before finally submitting the application form.</w:t>
      </w:r>
      <w:hyperlink r:id="rId12">
        <w:r>
          <w:rPr>
            <w:rStyle w:val="Hyperlink0"/>
            <w:rFonts w:ascii="Cambria" w:hAnsi="Cambria"/>
            <w:sz w:val="28"/>
            <w:szCs w:val="28"/>
            <w:highlight w:val="white"/>
          </w:rPr>
          <w:t xml:space="preserve"> http://a2ascholarships.iccr.gov.in/</w:t>
        </w:r>
      </w:hyperlink>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4"/>
        </w:numPr>
        <w:spacing w:lineRule="auto" w:line="288" w:before="0" w:after="0"/>
        <w:jc w:val="both"/>
        <w:rPr>
          <w:rFonts w:ascii="Cambria" w:hAnsi="Cambria"/>
          <w:color w:val="1B1B1B"/>
          <w:sz w:val="28"/>
          <w:szCs w:val="28"/>
          <w:highlight w:val="white"/>
        </w:rPr>
      </w:pPr>
      <w:r>
        <w:rPr>
          <w:rFonts w:ascii="Cambria" w:hAnsi="Cambria"/>
          <w:color w:val="1B1B1B"/>
          <w:sz w:val="28"/>
          <w:szCs w:val="28"/>
          <w:shd w:fill="FFFFFF" w:val="clear"/>
          <w:lang w:val="de-DE"/>
        </w:rPr>
        <w:t xml:space="preserve">ICCR </w:t>
      </w:r>
      <w:r>
        <w:rPr>
          <w:rStyle w:val="None"/>
          <w:rFonts w:ascii="Cambria" w:hAnsi="Cambria"/>
          <w:b/>
          <w:bCs/>
          <w:color w:val="1B1B1B"/>
          <w:sz w:val="28"/>
          <w:szCs w:val="28"/>
          <w:shd w:fill="FFFFFF" w:val="clear"/>
        </w:rPr>
        <w:t>does not award scholarship for Medical/Paramedical (Nursing/Physiotherapy/anaesthesia etc.)/fashion courses</w:t>
      </w:r>
      <w:r>
        <w:rPr>
          <w:rFonts w:ascii="Cambria" w:hAnsi="Cambria"/>
          <w:color w:val="1B1B1B"/>
          <w:sz w:val="28"/>
          <w:szCs w:val="28"/>
          <w:shd w:fill="FFFFFF" w:val="clear"/>
        </w:rPr>
        <w:t xml:space="preserve">. ICCR does not accept applications for </w:t>
      </w:r>
      <w:r>
        <w:rPr>
          <w:rStyle w:val="None"/>
          <w:rFonts w:ascii="Cambria" w:hAnsi="Cambria"/>
          <w:b/>
          <w:bCs/>
          <w:color w:val="1B1B1B"/>
          <w:sz w:val="28"/>
          <w:szCs w:val="28"/>
          <w:shd w:fill="FFFFFF" w:val="clear"/>
        </w:rPr>
        <w:t>Casual Research/ Diplomas/ Short-term courses.</w:t>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4"/>
        </w:numPr>
        <w:spacing w:lineRule="auto" w:line="288" w:before="0" w:after="0"/>
        <w:jc w:val="both"/>
        <w:rPr>
          <w:rFonts w:ascii="Cambria" w:hAnsi="Cambria"/>
          <w:b/>
          <w:b/>
          <w:bCs/>
          <w:color w:val="1B1B1B"/>
          <w:sz w:val="28"/>
          <w:szCs w:val="28"/>
          <w:highlight w:val="white"/>
        </w:rPr>
      </w:pPr>
      <w:r>
        <w:rPr>
          <w:rStyle w:val="None"/>
          <w:rFonts w:ascii="Cambria" w:hAnsi="Cambria"/>
          <w:color w:val="1B1B1B"/>
          <w:sz w:val="28"/>
          <w:szCs w:val="28"/>
          <w:shd w:fill="FFFFFF" w:val="clear"/>
        </w:rPr>
        <w:t xml:space="preserve">Students applying for </w:t>
      </w:r>
      <w:r>
        <w:rPr>
          <w:rFonts w:ascii="Cambria" w:hAnsi="Cambria"/>
          <w:b/>
          <w:bCs/>
          <w:color w:val="1B1B1B"/>
          <w:sz w:val="28"/>
          <w:szCs w:val="28"/>
          <w:shd w:fill="FFFFFF" w:val="clear"/>
          <w:lang w:val="fr-FR"/>
        </w:rPr>
        <w:t xml:space="preserve">Post-Doctoral </w:t>
      </w:r>
      <w:r>
        <w:rPr>
          <w:rStyle w:val="None"/>
          <w:rFonts w:ascii="Cambria" w:hAnsi="Cambria"/>
          <w:color w:val="1B1B1B"/>
          <w:sz w:val="28"/>
          <w:szCs w:val="28"/>
          <w:shd w:fill="FFFFFF" w:val="clear"/>
        </w:rPr>
        <w:t xml:space="preserve">courses should submit a </w:t>
      </w:r>
      <w:r>
        <w:rPr>
          <w:rFonts w:ascii="Cambria" w:hAnsi="Cambria"/>
          <w:b/>
          <w:bCs/>
          <w:color w:val="1B1B1B"/>
          <w:sz w:val="28"/>
          <w:szCs w:val="28"/>
          <w:shd w:fill="FFFFFF" w:val="clear"/>
        </w:rPr>
        <w:t xml:space="preserve">synopsis </w:t>
      </w:r>
      <w:r>
        <w:rPr>
          <w:rStyle w:val="None"/>
          <w:rFonts w:ascii="Cambria" w:hAnsi="Cambria"/>
          <w:color w:val="1B1B1B"/>
          <w:sz w:val="28"/>
          <w:szCs w:val="28"/>
          <w:shd w:fill="FFFFFF" w:val="clear"/>
        </w:rPr>
        <w:t>along with the application.</w:t>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2"/>
        </w:numPr>
        <w:spacing w:lineRule="auto" w:line="288" w:before="0" w:after="0"/>
        <w:jc w:val="both"/>
        <w:rPr>
          <w:rFonts w:ascii="Cambria" w:hAnsi="Cambria"/>
          <w:color w:val="1B1B1B"/>
          <w:sz w:val="28"/>
          <w:szCs w:val="28"/>
        </w:rPr>
      </w:pPr>
      <w:r>
        <w:rPr>
          <w:rFonts w:ascii="Cambria" w:hAnsi="Cambria"/>
          <w:color w:val="1B1B1B"/>
          <w:sz w:val="28"/>
          <w:szCs w:val="28"/>
          <w:shd w:fill="FFFFFF" w:val="clear"/>
        </w:rPr>
        <w:t xml:space="preserve">An applicant should have studied </w:t>
      </w:r>
      <w:r>
        <w:rPr>
          <w:rStyle w:val="None"/>
          <w:rFonts w:ascii="Cambria" w:hAnsi="Cambria"/>
          <w:b/>
          <w:bCs/>
          <w:color w:val="1B1B1B"/>
          <w:sz w:val="28"/>
          <w:szCs w:val="28"/>
          <w:shd w:fill="FFFFFF" w:val="clear"/>
        </w:rPr>
        <w:t xml:space="preserve">mathematics, physics and chemistry </w:t>
      </w:r>
      <w:r>
        <w:rPr>
          <w:rFonts w:ascii="Cambria" w:hAnsi="Cambria"/>
          <w:color w:val="1B1B1B"/>
          <w:sz w:val="28"/>
          <w:szCs w:val="28"/>
          <w:shd w:fill="FFFFFF" w:val="clear"/>
        </w:rPr>
        <w:t xml:space="preserve">at Higher Secondary level to be eligible  for  </w:t>
      </w:r>
      <w:r>
        <w:rPr>
          <w:rFonts w:ascii="Cambria" w:hAnsi="Cambria"/>
          <w:color w:val="1B1B1B"/>
          <w:sz w:val="28"/>
          <w:szCs w:val="28"/>
          <w:shd w:fill="FFFFFF" w:val="clear"/>
          <w:lang w:val="fr-FR"/>
        </w:rPr>
        <w:t>admission</w:t>
      </w:r>
      <w:r>
        <w:rPr>
          <w:rFonts w:ascii="Cambria" w:hAnsi="Cambria"/>
          <w:color w:val="1B1B1B"/>
          <w:sz w:val="28"/>
          <w:szCs w:val="28"/>
          <w:shd w:fill="FFFFFF" w:val="clear"/>
        </w:rPr>
        <w:t xml:space="preserve">  to  </w:t>
      </w:r>
      <w:r>
        <w:rPr>
          <w:rStyle w:val="None"/>
          <w:rFonts w:ascii="Cambria" w:hAnsi="Cambria"/>
          <w:b/>
          <w:bCs/>
          <w:color w:val="1B1B1B"/>
          <w:sz w:val="28"/>
          <w:szCs w:val="28"/>
          <w:shd w:fill="FFFFFF" w:val="clear"/>
        </w:rPr>
        <w:t xml:space="preserve">science/engineering courses. </w:t>
      </w:r>
      <w:r>
        <w:rPr>
          <w:rFonts w:ascii="Cambria" w:hAnsi="Cambria"/>
          <w:color w:val="1B1B1B"/>
          <w:sz w:val="28"/>
          <w:szCs w:val="28"/>
        </w:rPr>
        <w:t xml:space="preserve">Please note that for </w:t>
      </w:r>
      <w:r>
        <w:rPr>
          <w:rStyle w:val="None"/>
          <w:rFonts w:ascii="Cambria" w:hAnsi="Cambria"/>
          <w:b/>
          <w:bCs/>
          <w:color w:val="1B1B1B"/>
          <w:sz w:val="28"/>
          <w:szCs w:val="28"/>
        </w:rPr>
        <w:t>science courses</w:t>
      </w:r>
      <w:r>
        <w:rPr>
          <w:rFonts w:ascii="Cambria" w:hAnsi="Cambria"/>
          <w:color w:val="1B1B1B"/>
          <w:sz w:val="28"/>
          <w:szCs w:val="28"/>
        </w:rPr>
        <w:t>, the expenditure on laboratory chemicals and other related incidental charges will be borne by the scholars themselves.</w:t>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2"/>
        </w:numPr>
        <w:spacing w:lineRule="auto" w:line="288" w:before="0" w:after="0"/>
        <w:jc w:val="both"/>
        <w:rPr>
          <w:rFonts w:ascii="Cambria" w:hAnsi="Cambria"/>
          <w:color w:val="1B1B1B"/>
          <w:sz w:val="28"/>
          <w:szCs w:val="28"/>
          <w:highlight w:val="white"/>
        </w:rPr>
      </w:pPr>
      <w:r>
        <w:rPr>
          <w:rStyle w:val="None"/>
          <w:rFonts w:ascii="Cambria" w:hAnsi="Cambria"/>
          <w:b/>
          <w:bCs/>
          <w:color w:val="1B1B1B"/>
          <w:sz w:val="28"/>
          <w:szCs w:val="28"/>
          <w:shd w:fill="FFFFFF" w:val="clear"/>
        </w:rPr>
        <w:t>Personal medical insurance</w:t>
      </w:r>
      <w:r>
        <w:rPr>
          <w:rStyle w:val="None"/>
          <w:rFonts w:ascii="Cambria" w:hAnsi="Cambria"/>
          <w:color w:val="1B1B1B"/>
          <w:sz w:val="28"/>
          <w:szCs w:val="28"/>
          <w:shd w:fill="FFFFFF" w:val="clear"/>
        </w:rPr>
        <w:t xml:space="preserve"> is a mandatory requirement for availing ICCR’s scholarship. All ICCR scholarship students will have to procure Medical Insurance policy with minimum sum assured for</w:t>
      </w:r>
      <w:r>
        <w:rPr>
          <w:rStyle w:val="None"/>
          <w:rFonts w:ascii="Cambria" w:hAnsi="Cambria"/>
          <w:b/>
          <w:bCs/>
          <w:color w:val="1B1B1B"/>
          <w:sz w:val="28"/>
          <w:szCs w:val="28"/>
          <w:shd w:fill="FFFFFF" w:val="clear"/>
        </w:rPr>
        <w:t xml:space="preserve"> Indian Rupees Five Lakhs</w:t>
      </w:r>
      <w:r>
        <w:rPr>
          <w:rStyle w:val="None"/>
          <w:rFonts w:ascii="Cambria" w:hAnsi="Cambria"/>
          <w:color w:val="1B1B1B"/>
          <w:sz w:val="28"/>
          <w:szCs w:val="28"/>
          <w:shd w:fill="FFFFFF" w:val="clear"/>
        </w:rPr>
        <w:t xml:space="preserve"> which is equivalent to </w:t>
      </w:r>
      <w:r>
        <w:rPr>
          <w:rStyle w:val="None"/>
          <w:rFonts w:ascii="Cambria" w:hAnsi="Cambria"/>
          <w:b/>
          <w:bCs/>
          <w:color w:val="1B1B1B"/>
          <w:sz w:val="28"/>
          <w:szCs w:val="28"/>
          <w:shd w:fill="FFFFFF" w:val="clear"/>
        </w:rPr>
        <w:t>US$6800 per annum.</w:t>
      </w:r>
    </w:p>
    <w:p>
      <w:pPr>
        <w:pStyle w:val="Default"/>
        <w:spacing w:lineRule="auto" w:line="288" w:before="0" w:after="0"/>
        <w:jc w:val="both"/>
        <w:rPr>
          <w:rStyle w:val="None"/>
          <w:rFonts w:ascii="Cambria" w:hAnsi="Cambria" w:eastAsia="Times New Roman" w:cs="Times New Roman"/>
          <w:b/>
          <w:b/>
          <w:bCs/>
          <w:color w:val="1B1B1B"/>
          <w:sz w:val="28"/>
          <w:szCs w:val="28"/>
          <w:highlight w:val="white"/>
        </w:rPr>
      </w:pPr>
      <w:r>
        <w:rPr>
          <w:rFonts w:eastAsia="Times New Roman" w:cs="Times New Roman" w:ascii="Cambria" w:hAnsi="Cambria"/>
          <w:b/>
          <w:bCs/>
          <w:color w:val="1B1B1B"/>
          <w:sz w:val="28"/>
          <w:szCs w:val="28"/>
          <w:highlight w:val="white"/>
        </w:rPr>
      </w:r>
    </w:p>
    <w:p>
      <w:pPr>
        <w:pStyle w:val="Default"/>
        <w:numPr>
          <w:ilvl w:val="0"/>
          <w:numId w:val="2"/>
        </w:numPr>
        <w:spacing w:lineRule="auto" w:line="288" w:before="0" w:after="0"/>
        <w:jc w:val="both"/>
        <w:rPr>
          <w:rFonts w:ascii="Cambria" w:hAnsi="Cambria"/>
          <w:color w:val="1B1B1B"/>
          <w:sz w:val="28"/>
          <w:szCs w:val="28"/>
          <w:highlight w:val="white"/>
        </w:rPr>
      </w:pPr>
      <w:r>
        <w:rPr>
          <w:rFonts w:ascii="Cambria" w:hAnsi="Cambria"/>
          <w:color w:val="1B1B1B"/>
          <w:sz w:val="28"/>
          <w:szCs w:val="28"/>
          <w:shd w:fill="FFFFFF" w:val="clear"/>
        </w:rPr>
        <w:t xml:space="preserve">Medium of instruction is </w:t>
      </w:r>
      <w:r>
        <w:rPr>
          <w:rStyle w:val="None"/>
          <w:rFonts w:ascii="Cambria" w:hAnsi="Cambria"/>
          <w:b/>
          <w:bCs/>
          <w:color w:val="1B1B1B"/>
          <w:sz w:val="28"/>
          <w:szCs w:val="28"/>
          <w:shd w:fill="FFFFFF" w:val="clear"/>
        </w:rPr>
        <w:t xml:space="preserve">English </w:t>
      </w:r>
      <w:r>
        <w:rPr>
          <w:rFonts w:ascii="Cambria" w:hAnsi="Cambria"/>
          <w:color w:val="1B1B1B"/>
          <w:sz w:val="28"/>
          <w:szCs w:val="28"/>
          <w:shd w:fill="FFFFFF" w:val="clear"/>
        </w:rPr>
        <w:t>in all the Universities in lndia.</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2"/>
        </w:numPr>
        <w:spacing w:lineRule="auto" w:line="288" w:before="0" w:after="0"/>
        <w:jc w:val="both"/>
        <w:rPr>
          <w:rFonts w:ascii="Cambria" w:hAnsi="Cambria"/>
          <w:color w:val="1B1B1B"/>
          <w:sz w:val="28"/>
          <w:szCs w:val="28"/>
          <w:highlight w:val="white"/>
        </w:rPr>
      </w:pPr>
      <w:r>
        <w:rPr>
          <w:rFonts w:ascii="Cambria" w:hAnsi="Cambria"/>
          <w:color w:val="1B1B1B"/>
          <w:sz w:val="28"/>
          <w:szCs w:val="28"/>
          <w:shd w:fill="FFFFFF" w:val="clear"/>
        </w:rPr>
        <w:t xml:space="preserve">While filling the application, applicant have to </w:t>
      </w:r>
      <w:r>
        <w:rPr>
          <w:rStyle w:val="None"/>
          <w:rFonts w:ascii="Cambria" w:hAnsi="Cambria"/>
          <w:b/>
          <w:bCs/>
          <w:color w:val="1B1B1B"/>
          <w:sz w:val="28"/>
          <w:szCs w:val="28"/>
          <w:shd w:fill="FFFFFF" w:val="clear"/>
        </w:rPr>
        <w:t>write a 500-word essay in English</w:t>
      </w:r>
      <w:r>
        <w:rPr>
          <w:rFonts w:ascii="Cambria" w:hAnsi="Cambria"/>
          <w:color w:val="1B1B1B"/>
          <w:sz w:val="28"/>
          <w:szCs w:val="28"/>
          <w:shd w:fill="FFFFFF" w:val="clear"/>
        </w:rPr>
        <w:t xml:space="preserve"> on one of the topics / subject mentioned in the Portal.  There is an optional provision for applicants to provide their </w:t>
      </w:r>
      <w:r>
        <w:rPr>
          <w:rStyle w:val="None"/>
          <w:rFonts w:ascii="Cambria" w:hAnsi="Cambria"/>
          <w:b/>
          <w:bCs/>
          <w:color w:val="1B1B1B"/>
          <w:sz w:val="28"/>
          <w:szCs w:val="28"/>
          <w:shd w:fill="FFFFFF" w:val="clear"/>
        </w:rPr>
        <w:t>standardised test scores</w:t>
      </w:r>
      <w:r>
        <w:rPr>
          <w:rFonts w:ascii="Cambria" w:hAnsi="Cambria"/>
          <w:color w:val="1B1B1B"/>
          <w:sz w:val="28"/>
          <w:szCs w:val="28"/>
          <w:shd w:fill="FFFFFF" w:val="clear"/>
        </w:rPr>
        <w:t xml:space="preserve">, if available in any of the English Proficiency Tests like </w:t>
      </w:r>
      <w:r>
        <w:rPr>
          <w:rStyle w:val="None"/>
          <w:rFonts w:ascii="Cambria" w:hAnsi="Cambria"/>
          <w:b/>
          <w:bCs/>
          <w:color w:val="1B1B1B"/>
          <w:sz w:val="28"/>
          <w:szCs w:val="28"/>
          <w:shd w:fill="FFFFFF" w:val="clear"/>
        </w:rPr>
        <w:t>TOFEL/IEL</w:t>
      </w:r>
      <w:r>
        <w:rPr>
          <w:rStyle w:val="None"/>
          <w:rFonts w:ascii="Cambria" w:hAnsi="Cambria"/>
          <w:b/>
          <w:bCs/>
          <w:color w:val="1B1B1B"/>
          <w:sz w:val="28"/>
          <w:szCs w:val="28"/>
          <w:shd w:fill="FFFFFF" w:val="clear"/>
          <w:lang w:val="fr-FR"/>
        </w:rPr>
        <w:t>TS etc</w:t>
      </w:r>
      <w:r>
        <w:rPr>
          <w:rFonts w:ascii="Cambria" w:hAnsi="Cambria"/>
          <w:color w:val="1B1B1B"/>
          <w:sz w:val="28"/>
          <w:szCs w:val="28"/>
          <w:shd w:fill="FFFFFF" w:val="clear"/>
        </w:rPr>
        <w:t>.</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5"/>
        </w:numPr>
        <w:spacing w:lineRule="auto" w:line="288" w:before="0" w:after="0"/>
        <w:jc w:val="both"/>
        <w:rPr>
          <w:rFonts w:ascii="Cambria" w:hAnsi="Cambria" w:eastAsia="Times New Roman" w:cs="Times New Roman"/>
          <w:color w:val="1B1B1B"/>
          <w:sz w:val="28"/>
          <w:szCs w:val="28"/>
          <w:highlight w:val="white"/>
        </w:rPr>
      </w:pPr>
      <w:r>
        <w:rPr>
          <w:rFonts w:ascii="Cambria" w:hAnsi="Cambria"/>
          <w:color w:val="1B1B1B"/>
          <w:sz w:val="28"/>
          <w:szCs w:val="28"/>
          <w:shd w:fill="FFFFFF" w:val="clear"/>
        </w:rPr>
        <w:t>Student has option of applying i</w:t>
      </w:r>
      <w:r>
        <w:rPr>
          <w:rStyle w:val="None"/>
          <w:rFonts w:ascii="Cambria" w:hAnsi="Cambria"/>
          <w:b/>
          <w:bCs/>
          <w:color w:val="1B1B1B"/>
          <w:sz w:val="28"/>
          <w:szCs w:val="28"/>
          <w:shd w:fill="FFFFFF" w:val="clear"/>
        </w:rPr>
        <w:t xml:space="preserve">n 5 Universities/lnstitutes    of his/her choice in preferential order. </w:t>
      </w:r>
      <w:r>
        <w:rPr>
          <w:rFonts w:ascii="Cambria" w:hAnsi="Cambria"/>
          <w:color w:val="1B1B1B"/>
          <w:sz w:val="28"/>
          <w:szCs w:val="28"/>
          <w:shd w:fill="FFFFFF" w:val="clear"/>
        </w:rPr>
        <w:t>Indian Universities/ Educational institutions are autonomous and independent bodies and have their own eligibility criteria on the basis  of which they confirm admissions.</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5"/>
        </w:numPr>
        <w:spacing w:lineRule="auto" w:line="288" w:before="0" w:after="0"/>
        <w:jc w:val="both"/>
        <w:rPr>
          <w:rFonts w:ascii="Cambria" w:hAnsi="Cambria" w:eastAsia="Times New Roman" w:cs="Times New Roman"/>
          <w:color w:val="1B1B1B"/>
          <w:sz w:val="28"/>
          <w:szCs w:val="28"/>
          <w:highlight w:val="white"/>
        </w:rPr>
      </w:pPr>
      <w:r>
        <w:rPr>
          <w:rFonts w:ascii="Cambria" w:hAnsi="Cambria"/>
          <w:color w:val="1B1B1B"/>
          <w:sz w:val="28"/>
          <w:szCs w:val="28"/>
          <w:shd w:fill="FFFFFF" w:val="clear"/>
        </w:rPr>
        <w:t xml:space="preserve">Students are advised to </w:t>
      </w:r>
      <w:r>
        <w:rPr>
          <w:rStyle w:val="None"/>
          <w:rFonts w:ascii="Cambria" w:hAnsi="Cambria"/>
          <w:b/>
          <w:bCs/>
          <w:color w:val="1B1B1B"/>
          <w:sz w:val="28"/>
          <w:szCs w:val="28"/>
          <w:shd w:fill="FFFFFF" w:val="clear"/>
        </w:rPr>
        <w:t xml:space="preserve">stay in the hostel, if available. </w:t>
      </w:r>
      <w:r>
        <w:rPr>
          <w:rFonts w:ascii="Cambria" w:hAnsi="Cambria"/>
          <w:color w:val="1B1B1B"/>
          <w:sz w:val="28"/>
          <w:szCs w:val="28"/>
          <w:shd w:fill="FFFFFF" w:val="clear"/>
        </w:rPr>
        <w:t>However, students are allowed to stay in private accommodation if the concerned institute does not insist.</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shd w:fill="FFFFFF" w:val="clear"/>
        </w:rPr>
        <w:t xml:space="preserve">Detailed Guidelines </w:t>
      </w:r>
      <w:r>
        <w:rPr>
          <w:rStyle w:val="None"/>
          <w:rFonts w:ascii="Cambria" w:hAnsi="Cambria"/>
          <w:color w:val="1B1B1B"/>
          <w:sz w:val="28"/>
          <w:szCs w:val="28"/>
          <w:shd w:fill="FFFFFF" w:val="clear"/>
        </w:rPr>
        <w:t>are available at</w:t>
      </w:r>
      <w:r>
        <w:rPr>
          <w:rFonts w:ascii="Cambria" w:hAnsi="Cambria"/>
          <w:b/>
          <w:bCs/>
          <w:color w:val="1B1B1B"/>
          <w:sz w:val="28"/>
          <w:szCs w:val="28"/>
          <w:shd w:fill="FFFFFF" w:val="clear"/>
        </w:rPr>
        <w:t>:</w:t>
      </w:r>
    </w:p>
    <w:p>
      <w:pPr>
        <w:pStyle w:val="Default"/>
        <w:spacing w:lineRule="auto" w:line="288" w:before="0" w:after="0"/>
        <w:jc w:val="both"/>
        <w:rPr/>
      </w:pPr>
      <w:hyperlink r:id="rId13">
        <w:r>
          <w:rPr>
            <w:rStyle w:val="Hyperlink1"/>
            <w:rFonts w:ascii="Cambria" w:hAnsi="Cambria"/>
            <w:color w:val="416ED2"/>
            <w:sz w:val="28"/>
            <w:szCs w:val="28"/>
            <w:shd w:fill="FFFFFF" w:val="clear"/>
          </w:rPr>
          <w:t>www.a2ascholarships.iccr.gov.in</w:t>
        </w:r>
      </w:hyperlink>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shd w:fill="FFFFFF" w:val="clear"/>
        </w:rPr>
        <w:t>Instructions for Applicants:</w:t>
      </w:r>
    </w:p>
    <w:p>
      <w:pPr>
        <w:pStyle w:val="Default"/>
        <w:spacing w:lineRule="auto" w:line="288" w:before="0" w:after="0"/>
        <w:jc w:val="both"/>
        <w:rPr/>
      </w:pPr>
      <w:hyperlink r:id="rId14">
        <w:r>
          <w:rPr>
            <w:rStyle w:val="Hyperlink1"/>
            <w:rFonts w:ascii="Cambria" w:hAnsi="Cambria"/>
            <w:color w:val="416ED2"/>
            <w:sz w:val="28"/>
            <w:szCs w:val="28"/>
            <w:shd w:fill="FFFFFF" w:val="clear"/>
          </w:rPr>
          <w:t>http://a2ascholarships.iccr.gov.in/assets/site/docs/applicant_guidelines_beforef</w:t>
        </w:r>
      </w:hyperlink>
      <w:r>
        <w:rPr>
          <w:rStyle w:val="None"/>
          <w:rFonts w:ascii="Cambria" w:hAnsi="Cambria"/>
          <w:color w:val="1B1B1B"/>
          <w:sz w:val="28"/>
          <w:szCs w:val="28"/>
          <w:shd w:fill="FFFFFF" w:val="clear"/>
        </w:rPr>
        <w:t xml:space="preserve"> </w:t>
      </w:r>
      <w:hyperlink r:id="rId15">
        <w:r>
          <w:rPr>
            <w:rStyle w:val="Hyperlink1"/>
            <w:rFonts w:ascii="Cambria" w:hAnsi="Cambria"/>
            <w:color w:val="416ED2"/>
            <w:sz w:val="28"/>
            <w:szCs w:val="28"/>
            <w:shd w:fill="FFFFFF" w:val="clear"/>
          </w:rPr>
          <w:t>illing.pdf</w:t>
        </w:r>
      </w:hyperlink>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Style w:val="None"/>
          <w:rFonts w:ascii="Cambria" w:hAnsi="Cambria"/>
          <w:b/>
          <w:b/>
          <w:bCs/>
          <w:color w:val="1B1B1B"/>
          <w:sz w:val="28"/>
          <w:szCs w:val="28"/>
          <w:highlight w:val="white"/>
        </w:rPr>
      </w:pPr>
      <w:r>
        <w:rPr>
          <w:rStyle w:val="None"/>
          <w:rFonts w:ascii="Cambria" w:hAnsi="Cambria"/>
          <w:b/>
          <w:bCs/>
          <w:color w:val="1B1B1B"/>
          <w:sz w:val="28"/>
          <w:szCs w:val="28"/>
          <w:shd w:fill="FFFFFF" w:val="clear"/>
          <w:lang w:val="de-DE"/>
        </w:rPr>
        <w:t>For FAQ´</w:t>
      </w:r>
      <w:r>
        <w:rPr>
          <w:rStyle w:val="None"/>
          <w:rFonts w:ascii="Cambria" w:hAnsi="Cambria"/>
          <w:b/>
          <w:bCs/>
          <w:color w:val="1B1B1B"/>
          <w:sz w:val="28"/>
          <w:szCs w:val="28"/>
          <w:shd w:fill="FFFFFF" w:val="clear"/>
        </w:rPr>
        <w:t xml:space="preserve">s, </w:t>
      </w:r>
      <w:r>
        <w:rPr>
          <w:rStyle w:val="None"/>
          <w:rFonts w:ascii="Cambria" w:hAnsi="Cambria"/>
          <w:color w:val="1B1B1B"/>
          <w:sz w:val="28"/>
          <w:szCs w:val="28"/>
          <w:shd w:fill="FFFFFF" w:val="clear"/>
        </w:rPr>
        <w:t>kindly refer to the link below</w:t>
      </w:r>
      <w:r>
        <w:rPr>
          <w:rStyle w:val="None"/>
          <w:rFonts w:ascii="Cambria" w:hAnsi="Cambria"/>
          <w:b/>
          <w:bCs/>
          <w:color w:val="1B1B1B"/>
          <w:sz w:val="28"/>
          <w:szCs w:val="28"/>
          <w:shd w:fill="FFFFFF" w:val="clear"/>
        </w:rPr>
        <w:t>:</w:t>
      </w:r>
    </w:p>
    <w:p>
      <w:pPr>
        <w:pStyle w:val="Default"/>
        <w:spacing w:lineRule="auto" w:line="288" w:before="0" w:after="0"/>
        <w:jc w:val="both"/>
        <w:rPr/>
      </w:pPr>
      <w:hyperlink r:id="rId16">
        <w:r>
          <w:rPr>
            <w:rStyle w:val="Hyperlink2"/>
            <w:rFonts w:ascii="Cambria" w:hAnsi="Cambria"/>
            <w:color w:val="416ED2"/>
            <w:sz w:val="28"/>
            <w:szCs w:val="28"/>
            <w:shd w:fill="FFFFFF" w:val="clear"/>
          </w:rPr>
          <w:t xml:space="preserve"> </w:t>
        </w:r>
        <w:r>
          <w:rPr>
            <w:rStyle w:val="ListLabel59"/>
            <w:rFonts w:ascii="Cambria" w:hAnsi="Cambria"/>
            <w:color w:val="416ED2"/>
            <w:sz w:val="28"/>
            <w:szCs w:val="28"/>
            <w:shd w:fill="FFFFFF" w:val="clear"/>
          </w:rPr>
          <w:t>http://a2ascholarships.iccr.gov.in/home/page/faq</w:t>
        </w:r>
      </w:hyperlink>
    </w:p>
    <w:p>
      <w:pPr>
        <w:pStyle w:val="Default"/>
        <w:spacing w:lineRule="auto" w:line="288" w:before="0" w:after="0"/>
        <w:jc w:val="both"/>
        <w:rPr>
          <w:rFonts w:ascii="Cambria" w:hAnsi="Cambria"/>
          <w:color w:val="416ED2"/>
          <w:sz w:val="28"/>
          <w:szCs w:val="28"/>
          <w:highlight w:val="white"/>
          <w:lang w:val="de-DE"/>
        </w:rPr>
      </w:pPr>
      <w:r>
        <w:rPr>
          <w:rFonts w:ascii="Cambria" w:hAnsi="Cambria"/>
          <w:color w:val="416ED2"/>
          <w:sz w:val="28"/>
          <w:szCs w:val="28"/>
          <w:highlight w:val="white"/>
          <w:lang w:val="de-DE"/>
        </w:rPr>
      </w:r>
    </w:p>
    <w:p>
      <w:pPr>
        <w:pStyle w:val="Default"/>
        <w:spacing w:lineRule="auto" w:line="288" w:before="0" w:after="0"/>
        <w:jc w:val="both"/>
        <w:rPr/>
      </w:pPr>
      <w:r>
        <w:rPr>
          <w:rFonts w:ascii="Cambria" w:hAnsi="Cambria"/>
          <w:color w:val="1B1B1B"/>
          <w:sz w:val="28"/>
          <w:szCs w:val="28"/>
          <w:shd w:fill="FFFFFF" w:val="clear"/>
        </w:rPr>
        <w:t>For   </w:t>
      </w:r>
      <w:r>
        <w:rPr>
          <w:rFonts w:ascii="Cambria" w:hAnsi="Cambria"/>
          <w:color w:val="1B1B1B"/>
          <w:sz w:val="28"/>
          <w:szCs w:val="28"/>
          <w:shd w:fill="FFFFFF" w:val="clear"/>
          <w:lang w:val="fr-FR"/>
        </w:rPr>
        <w:t>information</w:t>
      </w:r>
      <w:r>
        <w:rPr>
          <w:rFonts w:ascii="Cambria" w:hAnsi="Cambria"/>
          <w:color w:val="1B1B1B"/>
          <w:sz w:val="28"/>
          <w:szCs w:val="28"/>
          <w:shd w:fill="FFFFFF" w:val="clear"/>
        </w:rPr>
        <w:t>   on   </w:t>
      </w:r>
      <w:r>
        <w:rPr>
          <w:rStyle w:val="Hyperlink2"/>
          <w:rFonts w:ascii="Cambria" w:hAnsi="Cambria"/>
          <w:color w:val="1B1B1B"/>
          <w:sz w:val="28"/>
          <w:szCs w:val="28"/>
          <w:shd w:fill="FFFFFF" w:val="clear"/>
          <w:lang w:val="pt-PT"/>
        </w:rPr>
        <w:t xml:space="preserve">Financial </w:t>
      </w:r>
      <w:r>
        <w:rPr>
          <w:rStyle w:val="Hyperlink2"/>
          <w:rFonts w:ascii="Cambria" w:hAnsi="Cambria"/>
          <w:color w:val="1B1B1B"/>
          <w:sz w:val="28"/>
          <w:szCs w:val="28"/>
          <w:shd w:fill="FFFFFF" w:val="clear"/>
        </w:rPr>
        <w:t> Terms  and  </w:t>
      </w:r>
      <w:r>
        <w:rPr>
          <w:rStyle w:val="Hyperlink2"/>
          <w:rFonts w:ascii="Cambria" w:hAnsi="Cambria"/>
          <w:color w:val="1B1B1B"/>
          <w:sz w:val="28"/>
          <w:szCs w:val="28"/>
          <w:shd w:fill="FFFFFF" w:val="clear"/>
          <w:lang w:val="fr-FR"/>
        </w:rPr>
        <w:t>Conditions</w:t>
      </w:r>
      <w:r>
        <w:rPr>
          <w:rFonts w:ascii="Cambria" w:hAnsi="Cambria"/>
          <w:color w:val="1B1B1B"/>
          <w:sz w:val="28"/>
          <w:szCs w:val="28"/>
          <w:shd w:fill="FFFFFF" w:val="clear"/>
        </w:rPr>
        <w:t>,   please   </w:t>
      </w:r>
      <w:r>
        <w:rPr>
          <w:rFonts w:ascii="Cambria" w:hAnsi="Cambria"/>
          <w:color w:val="1B1B1B"/>
          <w:sz w:val="28"/>
          <w:szCs w:val="28"/>
          <w:shd w:fill="FFFFFF" w:val="clear"/>
          <w:lang w:val="pt-PT"/>
        </w:rPr>
        <w:t>refer</w:t>
      </w:r>
      <w:r>
        <w:rPr>
          <w:rFonts w:ascii="Cambria" w:hAnsi="Cambria"/>
          <w:color w:val="1B1B1B"/>
          <w:sz w:val="28"/>
          <w:szCs w:val="28"/>
          <w:shd w:fill="FFFFFF" w:val="clear"/>
        </w:rPr>
        <w:t>   to link below:</w:t>
      </w:r>
      <w:hyperlink r:id="rId17">
        <w:r>
          <w:rPr>
            <w:rStyle w:val="Hyperlink0"/>
            <w:rFonts w:ascii="Cambria" w:hAnsi="Cambria"/>
            <w:sz w:val="28"/>
            <w:szCs w:val="28"/>
            <w:highlight w:val="white"/>
          </w:rPr>
          <w:t xml:space="preserve"> http://a2ascholarships.iccr.gov.in/assets/site/docs/Financial_Terms.pdf</w:t>
        </w:r>
      </w:hyperlink>
    </w:p>
    <w:p>
      <w:pPr>
        <w:pStyle w:val="Default"/>
        <w:spacing w:lineRule="auto" w:line="288" w:before="0" w:after="0"/>
        <w:jc w:val="both"/>
        <w:rPr>
          <w:rFonts w:ascii="Cambria" w:hAnsi="Cambria"/>
          <w:color w:val="1B1B1B"/>
          <w:sz w:val="28"/>
          <w:szCs w:val="28"/>
          <w:highlight w:val="white"/>
        </w:rPr>
      </w:pPr>
      <w:r>
        <w:rPr>
          <w:rFonts w:ascii="Cambria" w:hAnsi="Cambria"/>
          <w:color w:val="1B1B1B"/>
          <w:sz w:val="28"/>
          <w:szCs w:val="28"/>
          <w:highlight w:val="white"/>
        </w:rPr>
      </w:r>
    </w:p>
    <w:p>
      <w:pPr>
        <w:pStyle w:val="Default"/>
        <w:spacing w:lineRule="auto" w:line="288" w:before="0" w:after="0"/>
        <w:jc w:val="both"/>
        <w:rPr/>
      </w:pPr>
      <w:r>
        <w:rPr>
          <w:rFonts w:ascii="Cambria" w:hAnsi="Cambria"/>
          <w:color w:val="1B1B1B"/>
          <w:sz w:val="28"/>
          <w:szCs w:val="28"/>
          <w:shd w:fill="FFFFFF" w:val="clear"/>
        </w:rPr>
        <w:t xml:space="preserve">For any further queries, interested students should contact the Culture and Academics Section of the Embassy of India in Madrid by email </w:t>
      </w:r>
      <w:r>
        <w:rPr>
          <w:rFonts w:ascii="Cambria" w:hAnsi="Cambria"/>
          <w:color w:val="0070C0"/>
          <w:sz w:val="28"/>
          <w:szCs w:val="28"/>
          <w:shd w:fill="FFFFFF" w:val="clear"/>
        </w:rPr>
        <w:t>ss</w:t>
      </w:r>
      <w:hyperlink r:id="rId18">
        <w:r>
          <w:rPr>
            <w:rStyle w:val="Hyperlink0"/>
            <w:rFonts w:ascii="Cambria" w:hAnsi="Cambria"/>
            <w:color w:val="0070C0"/>
            <w:sz w:val="28"/>
            <w:szCs w:val="28"/>
            <w:highlight w:val="white"/>
          </w:rPr>
          <w:t>cul.madrid@mea.gov.in</w:t>
        </w:r>
      </w:hyperlink>
      <w:r>
        <w:rPr>
          <w:rFonts w:ascii="Cambria" w:hAnsi="Cambria"/>
          <w:color w:val="1B1B1B"/>
          <w:sz w:val="28"/>
          <w:szCs w:val="28"/>
          <w:shd w:fill="FFFFFF" w:val="clear"/>
        </w:rPr>
        <w:t xml:space="preserve"> and </w:t>
      </w:r>
      <w:r>
        <w:rPr>
          <w:rStyle w:val="Hyperlink0"/>
          <w:rFonts w:ascii="Cambria" w:hAnsi="Cambria"/>
          <w:sz w:val="28"/>
          <w:szCs w:val="28"/>
          <w:highlight w:val="white"/>
        </w:rPr>
        <w:t>tic.madrid@mea.gov.in</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sz w:val="28"/>
          <w:szCs w:val="28"/>
        </w:rPr>
      </w:pPr>
      <w:r>
        <w:rPr>
          <w:rFonts w:ascii="Cambria" w:hAnsi="Cambria"/>
          <w:sz w:val="28"/>
          <w:szCs w:val="28"/>
        </w:rPr>
      </w:r>
    </w:p>
    <w:p>
      <w:pPr>
        <w:pStyle w:val="Default"/>
        <w:spacing w:lineRule="auto" w:line="288" w:before="0" w:after="0"/>
        <w:jc w:val="both"/>
        <w:rPr>
          <w:rFonts w:ascii="Cambria" w:hAnsi="Cambria"/>
          <w:sz w:val="28"/>
          <w:szCs w:val="28"/>
        </w:rPr>
      </w:pPr>
      <w:r>
        <w:rPr>
          <w:rFonts w:ascii="Cambria" w:hAnsi="Cambria"/>
          <w:sz w:val="28"/>
          <w:szCs w:val="28"/>
        </w:rPr>
      </w:r>
    </w:p>
    <w:p>
      <w:pPr>
        <w:pStyle w:val="Default"/>
        <w:spacing w:lineRule="auto" w:line="288" w:before="0" w:after="0"/>
        <w:jc w:val="both"/>
        <w:rPr>
          <w:rFonts w:ascii="Cambria" w:hAnsi="Cambria"/>
          <w:sz w:val="28"/>
          <w:szCs w:val="28"/>
        </w:rPr>
      </w:pPr>
      <w:r>
        <w:rPr>
          <w:rFonts w:ascii="Cambria" w:hAnsi="Cambria"/>
          <w:sz w:val="28"/>
          <w:szCs w:val="28"/>
        </w:rPr>
      </w:r>
    </w:p>
    <w:p>
      <w:pPr>
        <w:pStyle w:val="Default"/>
        <w:spacing w:lineRule="auto" w:line="288" w:before="0" w:after="0"/>
        <w:jc w:val="both"/>
        <w:rPr>
          <w:rFonts w:ascii="Cambria" w:hAnsi="Cambria"/>
          <w:sz w:val="28"/>
          <w:szCs w:val="28"/>
        </w:rPr>
      </w:pPr>
      <w:r>
        <w:rPr>
          <w:rFonts w:ascii="Cambria" w:hAnsi="Cambria"/>
          <w:sz w:val="28"/>
          <w:szCs w:val="28"/>
        </w:rPr>
      </w:r>
    </w:p>
    <w:p>
      <w:pPr>
        <w:pStyle w:val="Default"/>
        <w:spacing w:lineRule="auto" w:line="288" w:before="0" w:after="0"/>
        <w:jc w:val="both"/>
        <w:rPr>
          <w:rFonts w:ascii="Cambria" w:hAnsi="Cambria"/>
          <w:sz w:val="28"/>
          <w:szCs w:val="28"/>
        </w:rPr>
      </w:pPr>
      <w:r>
        <w:rPr>
          <w:rFonts w:ascii="Cambria" w:hAnsi="Cambria"/>
          <w:sz w:val="28"/>
          <w:szCs w:val="28"/>
        </w:rPr>
      </w:r>
    </w:p>
    <w:p>
      <w:pPr>
        <w:pStyle w:val="Default"/>
        <w:spacing w:lineRule="auto" w:line="288" w:before="0" w:after="0"/>
        <w:jc w:val="both"/>
        <w:rPr>
          <w:rFonts w:ascii="Cambria" w:hAnsi="Cambria"/>
          <w:sz w:val="28"/>
          <w:szCs w:val="28"/>
        </w:rPr>
      </w:pPr>
      <w:r>
        <w:rPr>
          <w:rFonts w:ascii="Cambria" w:hAnsi="Cambria"/>
          <w:sz w:val="28"/>
          <w:szCs w:val="28"/>
        </w:rPr>
      </w:r>
    </w:p>
    <w:p>
      <w:pPr>
        <w:pStyle w:val="Default"/>
        <w:spacing w:lineRule="auto" w:line="288" w:before="0" w:after="0"/>
        <w:jc w:val="both"/>
        <w:rPr>
          <w:rFonts w:ascii="Cambria" w:hAnsi="Cambria"/>
          <w:sz w:val="28"/>
          <w:szCs w:val="28"/>
        </w:rPr>
      </w:pPr>
      <w:r>
        <w:rPr>
          <w:rFonts w:ascii="Cambria" w:hAnsi="Cambria"/>
          <w:sz w:val="28"/>
          <w:szCs w:val="28"/>
        </w:rPr>
      </w:r>
    </w:p>
    <w:p>
      <w:pPr>
        <w:pStyle w:val="Default"/>
        <w:spacing w:lineRule="auto" w:line="288" w:before="0" w:after="0"/>
        <w:jc w:val="both"/>
        <w:rPr>
          <w:rFonts w:ascii="Cambria" w:hAnsi="Cambria"/>
          <w:sz w:val="28"/>
          <w:szCs w:val="28"/>
        </w:rPr>
      </w:pPr>
      <w:r>
        <w:rPr>
          <w:rFonts w:ascii="Cambria" w:hAnsi="Cambria"/>
          <w:sz w:val="28"/>
          <w:szCs w:val="28"/>
        </w:rPr>
      </w:r>
    </w:p>
    <w:p>
      <w:pPr>
        <w:pStyle w:val="Default"/>
        <w:spacing w:lineRule="auto" w:line="288" w:before="0" w:after="0"/>
        <w:jc w:val="both"/>
        <w:rPr>
          <w:rFonts w:ascii="Cambria" w:hAnsi="Cambria"/>
          <w:sz w:val="28"/>
          <w:szCs w:val="28"/>
        </w:rPr>
      </w:pPr>
      <w:r>
        <w:rPr>
          <w:rFonts w:ascii="Cambria" w:hAnsi="Cambria"/>
          <w:sz w:val="28"/>
          <w:szCs w:val="28"/>
        </w:rPr>
      </w:r>
    </w:p>
    <w:p>
      <w:pPr>
        <w:pStyle w:val="Default"/>
        <w:spacing w:lineRule="auto" w:line="288" w:before="0" w:after="0"/>
        <w:jc w:val="both"/>
        <w:rPr>
          <w:rFonts w:ascii="Cambria" w:hAnsi="Cambria"/>
          <w:b/>
          <w:b/>
          <w:bCs/>
          <w:color w:val="1B1B1B"/>
          <w:sz w:val="28"/>
          <w:szCs w:val="28"/>
          <w:highlight w:val="white"/>
          <w:lang w:val="en-GB"/>
        </w:rPr>
      </w:pPr>
      <w:r>
        <w:rPr>
          <w:rFonts w:ascii="Cambria" w:hAnsi="Cambria"/>
          <w:b/>
          <w:bCs/>
          <w:color w:val="1B1B1B"/>
          <w:sz w:val="28"/>
          <w:szCs w:val="28"/>
          <w:highlight w:val="white"/>
          <w:lang w:val="en-GB"/>
        </w:rPr>
      </w:r>
    </w:p>
    <w:p>
      <w:pPr>
        <w:pStyle w:val="Default"/>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shd w:fill="FFFFFF" w:val="clear"/>
        </w:rPr>
        <w:t>ICCR General Scholarships Scheme</w:t>
      </w:r>
    </w:p>
    <w:p>
      <w:pPr>
        <w:pStyle w:val="Default"/>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highlight w:val="white"/>
        </w:rPr>
      </w:r>
    </w:p>
    <w:p>
      <w:pPr>
        <w:pStyle w:val="Default"/>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highlight w:val="white"/>
        </w:rPr>
        <w:drawing>
          <wp:anchor behindDoc="0" distT="0" distB="0" distL="0" distR="0" simplePos="0" locked="0" layoutInCell="1" allowOverlap="1" relativeHeight="7">
            <wp:simplePos x="0" y="0"/>
            <wp:positionH relativeFrom="column">
              <wp:align>center</wp:align>
            </wp:positionH>
            <wp:positionV relativeFrom="paragraph">
              <wp:posOffset>635</wp:posOffset>
            </wp:positionV>
            <wp:extent cx="6120130" cy="3442335"/>
            <wp:effectExtent l="0" t="0" r="0" b="0"/>
            <wp:wrapSquare wrapText="largest"/>
            <wp:docPr id="7" name="Image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3" descr=""/>
                    <pic:cNvPicPr>
                      <a:picLocks noChangeAspect="1" noChangeArrowheads="1"/>
                    </pic:cNvPicPr>
                  </pic:nvPicPr>
                  <pic:blipFill>
                    <a:blip r:embed="rId19"/>
                    <a:stretch>
                      <a:fillRect/>
                    </a:stretch>
                  </pic:blipFill>
                  <pic:spPr bwMode="auto">
                    <a:xfrm>
                      <a:off x="0" y="0"/>
                      <a:ext cx="6120130" cy="3442335"/>
                    </a:xfrm>
                    <a:prstGeom prst="rect">
                      <a:avLst/>
                    </a:prstGeom>
                  </pic:spPr>
                </pic:pic>
              </a:graphicData>
            </a:graphic>
          </wp:anchor>
        </w:drawing>
      </w:r>
    </w:p>
    <w:p>
      <w:pPr>
        <w:pStyle w:val="Default"/>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highlight w:val="white"/>
        </w:rPr>
        <mc:AlternateContent>
          <mc:Choice Requires="wps">
            <w:drawing>
              <wp:anchor behindDoc="0" distT="0" distB="0" distL="114300" distR="114300" simplePos="0" locked="0" layoutInCell="1" allowOverlap="1" relativeHeight="4" wp14:anchorId="518373D5">
                <wp:simplePos x="0" y="0"/>
                <wp:positionH relativeFrom="column">
                  <wp:posOffset>2085975</wp:posOffset>
                </wp:positionH>
                <wp:positionV relativeFrom="paragraph">
                  <wp:posOffset>-635</wp:posOffset>
                </wp:positionV>
                <wp:extent cx="1831975" cy="741680"/>
                <wp:effectExtent l="0" t="0" r="0" b="0"/>
                <wp:wrapSquare wrapText="bothSides"/>
                <wp:docPr id="8" name="Text Box 5"/>
                <a:graphic xmlns:a="http://schemas.openxmlformats.org/drawingml/2006/main">
                  <a:graphicData uri="http://schemas.microsoft.com/office/word/2010/wordprocessingShape">
                    <wps:wsp>
                      <wps:cNvSpPr/>
                      <wps:spPr>
                        <a:xfrm>
                          <a:off x="0" y="0"/>
                          <a:ext cx="1831320" cy="740880"/>
                        </a:xfrm>
                        <a:prstGeom prst="rect">
                          <a:avLst/>
                        </a:prstGeom>
                        <a:noFill/>
                        <a:ln w="6480">
                          <a:solidFill>
                            <a:srgbClr val="000000"/>
                          </a:solidFill>
                          <a:round/>
                        </a:ln>
                      </wps:spPr>
                      <wps:style>
                        <a:lnRef idx="0"/>
                        <a:fillRef idx="0"/>
                        <a:effectRef idx="0"/>
                        <a:fontRef idx="minor"/>
                      </wps:style>
                      <wps:txbx>
                        <w:txbxContent>
                          <w:p>
                            <w:pPr>
                              <w:pStyle w:val="Default"/>
                              <w:spacing w:lineRule="auto" w:line="288" w:before="160" w:after="0"/>
                              <w:jc w:val="both"/>
                              <w:rPr/>
                            </w:pPr>
                            <w:r>
                              <w:rPr>
                                <w:rFonts w:ascii="Cambria" w:hAnsi="Cambria"/>
                                <w:b/>
                                <w:bCs/>
                                <w:color w:val="941100"/>
                                <w:sz w:val="28"/>
                                <w:szCs w:val="28"/>
                                <w:shd w:fill="FFFFFF" w:val="clear"/>
                              </w:rPr>
                              <w:t>Last Date to apply: May 30, 2021</w:t>
                            </w:r>
                          </w:p>
                        </w:txbxContent>
                      </wps:txbx>
                      <wps:bodyPr>
                        <a:prstTxWarp prst="textNoShape"/>
                        <a:spAutoFit/>
                      </wps:bodyPr>
                    </wps:wsp>
                  </a:graphicData>
                </a:graphic>
              </wp:anchor>
            </w:drawing>
          </mc:Choice>
          <mc:Fallback>
            <w:pict>
              <v:rect id="shape_0" ID="Text Box 5" stroked="t" style="position:absolute;margin-left:164.25pt;margin-top:-0.05pt;width:144.15pt;height:58.3pt" wp14:anchorId="518373D5">
                <w10:wrap type="square"/>
                <v:fill o:detectmouseclick="t" on="false"/>
                <v:stroke color="black" weight="6480" joinstyle="round" endcap="flat"/>
                <v:textbox>
                  <w:txbxContent>
                    <w:p>
                      <w:pPr>
                        <w:pStyle w:val="Default"/>
                        <w:spacing w:lineRule="auto" w:line="288" w:before="160" w:after="0"/>
                        <w:jc w:val="both"/>
                        <w:rPr/>
                      </w:pPr>
                      <w:r>
                        <w:rPr>
                          <w:rFonts w:ascii="Cambria" w:hAnsi="Cambria"/>
                          <w:b/>
                          <w:bCs/>
                          <w:color w:val="941100"/>
                          <w:sz w:val="28"/>
                          <w:szCs w:val="28"/>
                          <w:shd w:fill="FFFFFF" w:val="clear"/>
                        </w:rPr>
                        <w:t>Last Date to apply: May 30, 2021</w:t>
                      </w:r>
                    </w:p>
                  </w:txbxContent>
                </v:textbox>
              </v:rect>
            </w:pict>
          </mc:Fallback>
        </mc:AlternateContent>
      </w:r>
    </w:p>
    <w:p>
      <w:pPr>
        <w:pStyle w:val="Default"/>
        <w:spacing w:lineRule="auto" w:line="288" w:before="0" w:after="0"/>
        <w:jc w:val="both"/>
        <w:rPr>
          <w:rFonts w:ascii="Cambria" w:hAnsi="Cambria" w:eastAsia="Times New Roman" w:cs="Times New Roman"/>
          <w:b/>
          <w:b/>
          <w:bCs/>
          <w:color w:val="1B1B1B"/>
          <w:sz w:val="28"/>
          <w:szCs w:val="28"/>
          <w:highlight w:val="white"/>
        </w:rPr>
      </w:pPr>
      <w:r>
        <w:rPr>
          <w:rFonts w:eastAsia="Times New Roman" w:cs="Times New Roman" w:ascii="Cambria" w:hAnsi="Cambria"/>
          <w:b/>
          <w:bCs/>
          <w:color w:val="1B1B1B"/>
          <w:sz w:val="28"/>
          <w:szCs w:val="28"/>
          <w:highlight w:val="white"/>
        </w:rPr>
      </w:r>
    </w:p>
    <w:p>
      <w:pPr>
        <w:pStyle w:val="Default"/>
        <w:spacing w:lineRule="auto" w:line="288" w:before="0" w:after="0"/>
        <w:jc w:val="both"/>
        <w:rPr>
          <w:rFonts w:ascii="Cambria" w:hAnsi="Cambria" w:eastAsia="Times New Roman" w:cs="Times New Roman"/>
          <w:b/>
          <w:b/>
          <w:bCs/>
          <w:color w:val="1B1B1B"/>
          <w:sz w:val="28"/>
          <w:szCs w:val="28"/>
          <w:highlight w:val="white"/>
        </w:rPr>
      </w:pPr>
      <w:r>
        <w:rPr>
          <w:rFonts w:eastAsia="Times New Roman" w:cs="Times New Roman" w:ascii="Cambria" w:hAnsi="Cambria"/>
          <w:b/>
          <w:bCs/>
          <w:color w:val="1B1B1B"/>
          <w:sz w:val="28"/>
          <w:szCs w:val="28"/>
          <w:highlight w:val="white"/>
        </w:rPr>
      </w:r>
    </w:p>
    <w:p>
      <w:pPr>
        <w:pStyle w:val="Default"/>
        <w:spacing w:lineRule="auto" w:line="288" w:before="0" w:after="0"/>
        <w:jc w:val="both"/>
        <w:rPr>
          <w:rFonts w:ascii="Cambria" w:hAnsi="Cambria"/>
          <w:color w:val="1B1B1B"/>
          <w:sz w:val="28"/>
          <w:szCs w:val="28"/>
          <w:highlight w:val="white"/>
        </w:rPr>
      </w:pPr>
      <w:r>
        <w:rPr>
          <w:rFonts w:ascii="Cambria" w:hAnsi="Cambria"/>
          <w:color w:val="1B1B1B"/>
          <w:sz w:val="28"/>
          <w:szCs w:val="28"/>
          <w:highlight w:val="white"/>
        </w:rPr>
      </w:r>
    </w:p>
    <w:p>
      <w:pPr>
        <w:pStyle w:val="Default"/>
        <w:spacing w:lineRule="auto" w:line="288" w:before="0" w:after="0"/>
        <w:jc w:val="both"/>
        <w:rPr>
          <w:rFonts w:ascii="Cambria" w:hAnsi="Cambria"/>
          <w:color w:val="1B1B1B"/>
          <w:sz w:val="28"/>
          <w:szCs w:val="28"/>
          <w:highlight w:val="white"/>
        </w:rPr>
      </w:pPr>
      <w:r>
        <w:rPr>
          <w:rFonts w:ascii="Cambria" w:hAnsi="Cambria"/>
          <w:color w:val="1B1B1B"/>
          <w:sz w:val="28"/>
          <w:szCs w:val="28"/>
          <w:highlight w:val="white"/>
        </w:rPr>
      </w:r>
    </w:p>
    <w:p>
      <w:pPr>
        <w:pStyle w:val="Default"/>
        <w:spacing w:lineRule="auto" w:line="288" w:before="0" w:after="0"/>
        <w:ind w:firstLine="720"/>
        <w:jc w:val="both"/>
        <w:rPr/>
      </w:pPr>
      <w:r>
        <w:rPr>
          <w:rFonts w:ascii="Cambria" w:hAnsi="Cambria"/>
          <w:color w:val="1B1B1B"/>
          <w:sz w:val="28"/>
          <w:szCs w:val="28"/>
          <w:shd w:fill="FFFFFF" w:val="clear"/>
        </w:rPr>
        <w:t>The Government of India under the aegis of the Indian Council for Cultural Relations (ICCR) is offering five scholarship slots to Spain under the framework of General Scholarships Scheme.</w:t>
      </w:r>
    </w:p>
    <w:p>
      <w:pPr>
        <w:pStyle w:val="Default"/>
        <w:spacing w:lineRule="auto" w:line="288" w:before="0" w:after="0"/>
        <w:ind w:firstLine="720"/>
        <w:jc w:val="both"/>
        <w:rPr>
          <w:rFonts w:ascii="Cambria" w:hAnsi="Cambria"/>
          <w:color w:val="1B1B1B"/>
          <w:sz w:val="28"/>
          <w:szCs w:val="28"/>
          <w:highlight w:val="white"/>
        </w:rPr>
      </w:pPr>
      <w:r>
        <w:rPr>
          <w:rFonts w:ascii="Cambria" w:hAnsi="Cambria"/>
          <w:color w:val="1B1B1B"/>
          <w:sz w:val="28"/>
          <w:szCs w:val="28"/>
          <w:highlight w:val="white"/>
        </w:rPr>
      </w:r>
    </w:p>
    <w:p>
      <w:pPr>
        <w:pStyle w:val="Default"/>
        <w:spacing w:lineRule="auto" w:line="288" w:before="0" w:after="0"/>
        <w:jc w:val="both"/>
        <w:rPr>
          <w:rFonts w:ascii="Cambria" w:hAnsi="Cambria" w:eastAsia="Times New Roman" w:cs="Times New Roman"/>
          <w:bCs/>
          <w:color w:val="1B1B1B"/>
          <w:sz w:val="28"/>
          <w:szCs w:val="28"/>
          <w:highlight w:val="white"/>
        </w:rPr>
      </w:pPr>
      <w:r>
        <w:rPr>
          <w:rFonts w:ascii="Cambria" w:hAnsi="Cambria"/>
          <w:color w:val="1B1B1B"/>
          <w:sz w:val="28"/>
          <w:szCs w:val="28"/>
          <w:shd w:fill="FFFFFF" w:val="clear"/>
        </w:rPr>
        <w:t xml:space="preserve">The applicants should be </w:t>
      </w:r>
      <w:r>
        <w:rPr>
          <w:rFonts w:ascii="Cambria" w:hAnsi="Cambria"/>
          <w:bCs/>
          <w:color w:val="1B1B1B"/>
          <w:sz w:val="28"/>
          <w:szCs w:val="28"/>
          <w:shd w:fill="FFFFFF" w:val="clear"/>
        </w:rPr>
        <w:t>within the</w:t>
      </w:r>
      <w:r>
        <w:rPr>
          <w:rFonts w:ascii="Cambria" w:hAnsi="Cambria"/>
          <w:b/>
          <w:bCs/>
          <w:color w:val="1B1B1B"/>
          <w:sz w:val="28"/>
          <w:szCs w:val="28"/>
          <w:shd w:fill="FFFFFF" w:val="clear"/>
        </w:rPr>
        <w:t xml:space="preserve"> age of 18-30 </w:t>
      </w:r>
      <w:r>
        <w:rPr>
          <w:rFonts w:ascii="Cambria" w:hAnsi="Cambria"/>
          <w:bCs/>
          <w:color w:val="1B1B1B"/>
          <w:sz w:val="28"/>
          <w:szCs w:val="28"/>
          <w:shd w:fill="FFFFFF" w:val="clear"/>
        </w:rPr>
        <w:t>years to be eligible for this scholarship.</w:t>
      </w:r>
    </w:p>
    <w:p>
      <w:pPr>
        <w:pStyle w:val="Default"/>
        <w:spacing w:lineRule="auto" w:line="288" w:before="0" w:after="0"/>
        <w:ind w:firstLine="720"/>
        <w:jc w:val="both"/>
        <w:rPr>
          <w:rFonts w:ascii="Cambria" w:hAnsi="Cambria"/>
          <w:color w:val="1B1B1B"/>
          <w:sz w:val="28"/>
          <w:szCs w:val="28"/>
          <w:highlight w:val="white"/>
        </w:rPr>
      </w:pPr>
      <w:r>
        <w:rPr>
          <w:rFonts w:ascii="Cambria" w:hAnsi="Cambria"/>
          <w:color w:val="1B1B1B"/>
          <w:sz w:val="28"/>
          <w:szCs w:val="28"/>
          <w:highlight w:val="white"/>
        </w:rPr>
      </w:r>
    </w:p>
    <w:p>
      <w:pPr>
        <w:pStyle w:val="Default"/>
        <w:spacing w:lineRule="auto" w:line="288" w:before="0" w:after="0"/>
        <w:jc w:val="both"/>
        <w:rPr/>
      </w:pPr>
      <w:r>
        <w:rPr>
          <w:rFonts w:ascii="Cambria" w:hAnsi="Cambria"/>
          <w:color w:val="1B1B1B"/>
          <w:sz w:val="28"/>
          <w:szCs w:val="28"/>
          <w:shd w:fill="FFFFFF" w:val="clear"/>
        </w:rPr>
        <w:t xml:space="preserve">Applicants are requested to log onto "Admissions to Alumni" (A2A), the Scholarship Portal developed by ICCR at </w:t>
      </w:r>
      <w:hyperlink r:id="rId20">
        <w:r>
          <w:rPr>
            <w:rStyle w:val="Hyperlink0"/>
            <w:rFonts w:ascii="Cambria" w:hAnsi="Cambria"/>
            <w:sz w:val="28"/>
            <w:szCs w:val="28"/>
            <w:highlight w:val="white"/>
          </w:rPr>
          <w:t>http://a2ascholarships.iccr.gov.in/</w:t>
        </w:r>
      </w:hyperlink>
      <w:r>
        <w:rPr>
          <w:rFonts w:ascii="Cambria" w:hAnsi="Cambria"/>
          <w:color w:val="1B1B1B"/>
          <w:sz w:val="28"/>
          <w:szCs w:val="28"/>
          <w:shd w:fill="FFFFFF" w:val="clear"/>
        </w:rPr>
        <w:t xml:space="preserve"> </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eastAsia="Times New Roman" w:cs="Times New Roman"/>
          <w:color w:val="1B1B1B"/>
          <w:sz w:val="28"/>
          <w:szCs w:val="28"/>
          <w:highlight w:val="white"/>
        </w:rPr>
      </w:pPr>
      <w:r>
        <w:rPr>
          <w:rFonts w:ascii="Cambria" w:hAnsi="Cambria"/>
          <w:color w:val="1B1B1B"/>
          <w:sz w:val="28"/>
          <w:szCs w:val="28"/>
          <w:shd w:fill="FFFFFF" w:val="clear"/>
        </w:rPr>
        <w:t>List of Universities and lists of courses offered in various universities may be referred to on University websites by the applicants. List is given in the A2A Portal. This is to avoid time delays in processing applications, in case the course desired by an applicant is not available in a particular university. A2A Portal also provides web links of each university and courses offered by them at the time of filling the application and selection of university and course.</w:t>
      </w:r>
    </w:p>
    <w:p>
      <w:pPr>
        <w:pStyle w:val="Default"/>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highlight w:val="white"/>
        </w:rPr>
      </w:r>
      <w:bookmarkStart w:id="0" w:name="_GoBack"/>
      <w:bookmarkStart w:id="1" w:name="_GoBack"/>
      <w:bookmarkEnd w:id="1"/>
    </w:p>
    <w:p>
      <w:pPr>
        <w:pStyle w:val="Default"/>
        <w:spacing w:lineRule="auto" w:line="288" w:before="0" w:after="0"/>
        <w:jc w:val="both"/>
        <w:rPr>
          <w:rFonts w:ascii="Cambria" w:hAnsi="Cambria" w:eastAsia="Times New Roman" w:cs="Times New Roman"/>
          <w:b/>
          <w:b/>
          <w:bCs/>
          <w:color w:val="1B1B1B"/>
          <w:sz w:val="28"/>
          <w:szCs w:val="28"/>
          <w:highlight w:val="white"/>
        </w:rPr>
      </w:pPr>
      <w:r>
        <w:rPr>
          <w:rFonts w:ascii="Cambria" w:hAnsi="Cambria"/>
          <w:b/>
          <w:bCs/>
          <w:color w:val="1B1B1B"/>
          <w:sz w:val="28"/>
          <w:szCs w:val="28"/>
          <w:shd w:fill="FFFFFF" w:val="clear"/>
        </w:rPr>
        <w:t>Please carefully note the following:</w:t>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4"/>
        </w:numPr>
        <w:spacing w:lineRule="auto" w:line="288" w:before="0" w:after="0"/>
        <w:jc w:val="both"/>
        <w:rPr/>
      </w:pPr>
      <w:r>
        <w:rPr>
          <w:rFonts w:ascii="Cambria" w:hAnsi="Cambria"/>
          <w:color w:val="1B1B1B"/>
          <w:sz w:val="28"/>
          <w:szCs w:val="28"/>
          <w:shd w:fill="FFFFFF" w:val="clear"/>
        </w:rPr>
        <w:t xml:space="preserve">Applications should be submitted </w:t>
      </w:r>
      <w:r>
        <w:rPr>
          <w:rStyle w:val="None"/>
          <w:rFonts w:ascii="Cambria" w:hAnsi="Cambria"/>
          <w:b/>
          <w:bCs/>
          <w:color w:val="1B1B1B"/>
          <w:sz w:val="28"/>
          <w:szCs w:val="28"/>
          <w:shd w:fill="FFFFFF" w:val="clear"/>
        </w:rPr>
        <w:t xml:space="preserve">latest by 30th May 2021 </w:t>
      </w:r>
      <w:r>
        <w:rPr>
          <w:rFonts w:ascii="Cambria" w:hAnsi="Cambria"/>
          <w:color w:val="1B1B1B"/>
          <w:sz w:val="28"/>
          <w:szCs w:val="28"/>
          <w:shd w:fill="FFFFFF" w:val="clear"/>
        </w:rPr>
        <w:t xml:space="preserve">through the online application mechanism. </w:t>
      </w:r>
      <w:r>
        <w:rPr>
          <w:rFonts w:ascii="Cambria" w:hAnsi="Cambria"/>
          <w:color w:val="1B1B1B"/>
          <w:sz w:val="28"/>
          <w:szCs w:val="28"/>
          <w:shd w:fill="FFFFFF" w:val="clear"/>
          <w:lang w:val="fr-FR"/>
        </w:rPr>
        <w:t xml:space="preserve">Applications </w:t>
      </w:r>
      <w:r>
        <w:rPr>
          <w:rStyle w:val="None"/>
          <w:rFonts w:ascii="Cambria" w:hAnsi="Cambria"/>
          <w:b/>
          <w:bCs/>
          <w:color w:val="1B1B1B"/>
          <w:sz w:val="28"/>
          <w:szCs w:val="28"/>
          <w:shd w:fill="FFFFFF" w:val="clear"/>
        </w:rPr>
        <w:t xml:space="preserve">should be complete </w:t>
      </w:r>
      <w:r>
        <w:rPr>
          <w:rFonts w:ascii="Cambria" w:hAnsi="Cambria"/>
          <w:color w:val="1B1B1B"/>
          <w:sz w:val="28"/>
          <w:szCs w:val="28"/>
          <w:shd w:fill="FFFFFF" w:val="clear"/>
        </w:rPr>
        <w:t>in every detail. Kindly read the guidelines on the portal.</w:t>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4"/>
        </w:numPr>
        <w:spacing w:lineRule="auto" w:line="288" w:before="0" w:after="0"/>
        <w:jc w:val="both"/>
        <w:rPr/>
      </w:pPr>
      <w:r>
        <w:rPr>
          <w:rFonts w:ascii="Cambria" w:hAnsi="Cambria"/>
          <w:color w:val="1B1B1B"/>
          <w:sz w:val="28"/>
          <w:szCs w:val="28"/>
          <w:shd w:fill="FFFFFF" w:val="clear"/>
        </w:rPr>
        <w:t xml:space="preserve">Applicants are advised to </w:t>
      </w:r>
      <w:r>
        <w:rPr>
          <w:rStyle w:val="None"/>
          <w:rFonts w:ascii="Cambria" w:hAnsi="Cambria"/>
          <w:b/>
          <w:bCs/>
          <w:color w:val="1B1B1B"/>
          <w:sz w:val="28"/>
          <w:szCs w:val="28"/>
          <w:shd w:fill="FFFFFF" w:val="clear"/>
        </w:rPr>
        <w:t xml:space="preserve">go through the courses offered </w:t>
      </w:r>
      <w:r>
        <w:rPr>
          <w:rFonts w:ascii="Cambria" w:hAnsi="Cambria"/>
          <w:color w:val="1B1B1B"/>
          <w:sz w:val="28"/>
          <w:szCs w:val="28"/>
          <w:shd w:fill="FFFFFF" w:val="clear"/>
        </w:rPr>
        <w:t>by the Universities carefully before finally submitting the application form.</w:t>
      </w:r>
      <w:hyperlink r:id="rId21">
        <w:r>
          <w:rPr>
            <w:rStyle w:val="Hyperlink0"/>
            <w:rFonts w:ascii="Cambria" w:hAnsi="Cambria"/>
            <w:sz w:val="28"/>
            <w:szCs w:val="28"/>
            <w:highlight w:val="white"/>
          </w:rPr>
          <w:t xml:space="preserve"> http://a2ascholarships.iccr.gov.in/</w:t>
        </w:r>
      </w:hyperlink>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4"/>
        </w:numPr>
        <w:spacing w:lineRule="auto" w:line="288" w:before="0" w:after="0"/>
        <w:jc w:val="both"/>
        <w:rPr>
          <w:rFonts w:ascii="Cambria" w:hAnsi="Cambria"/>
          <w:color w:val="1B1B1B"/>
          <w:sz w:val="28"/>
          <w:szCs w:val="28"/>
          <w:highlight w:val="white"/>
        </w:rPr>
      </w:pPr>
      <w:r>
        <w:rPr>
          <w:rFonts w:ascii="Cambria" w:hAnsi="Cambria"/>
          <w:color w:val="1B1B1B"/>
          <w:sz w:val="28"/>
          <w:szCs w:val="28"/>
          <w:shd w:fill="FFFFFF" w:val="clear"/>
          <w:lang w:val="de-DE"/>
        </w:rPr>
        <w:t xml:space="preserve">ICCR </w:t>
      </w:r>
      <w:r>
        <w:rPr>
          <w:rStyle w:val="None"/>
          <w:rFonts w:ascii="Cambria" w:hAnsi="Cambria"/>
          <w:b/>
          <w:bCs/>
          <w:color w:val="1B1B1B"/>
          <w:sz w:val="28"/>
          <w:szCs w:val="28"/>
          <w:shd w:fill="FFFFFF" w:val="clear"/>
        </w:rPr>
        <w:t>does not award scholarship for Medical/Paramedical (Nursing/Physiotherapy/anaesthesia etc.)/fashion courses</w:t>
      </w:r>
      <w:r>
        <w:rPr>
          <w:rFonts w:ascii="Cambria" w:hAnsi="Cambria"/>
          <w:color w:val="1B1B1B"/>
          <w:sz w:val="28"/>
          <w:szCs w:val="28"/>
          <w:shd w:fill="FFFFFF" w:val="clear"/>
        </w:rPr>
        <w:t xml:space="preserve">. ICCR does not accept applications for </w:t>
      </w:r>
      <w:r>
        <w:rPr>
          <w:rStyle w:val="None"/>
          <w:rFonts w:ascii="Cambria" w:hAnsi="Cambria"/>
          <w:b/>
          <w:bCs/>
          <w:color w:val="1B1B1B"/>
          <w:sz w:val="28"/>
          <w:szCs w:val="28"/>
          <w:shd w:fill="FFFFFF" w:val="clear"/>
        </w:rPr>
        <w:t>Casual Research/ Diplomas/ Short-term courses.</w:t>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4"/>
        </w:numPr>
        <w:spacing w:lineRule="auto" w:line="288" w:before="0" w:after="0"/>
        <w:jc w:val="both"/>
        <w:rPr>
          <w:rFonts w:ascii="Cambria" w:hAnsi="Cambria"/>
          <w:b/>
          <w:b/>
          <w:bCs/>
          <w:color w:val="1B1B1B"/>
          <w:sz w:val="28"/>
          <w:szCs w:val="28"/>
          <w:highlight w:val="white"/>
        </w:rPr>
      </w:pPr>
      <w:r>
        <w:rPr>
          <w:rStyle w:val="None"/>
          <w:rFonts w:ascii="Cambria" w:hAnsi="Cambria"/>
          <w:color w:val="1B1B1B"/>
          <w:sz w:val="28"/>
          <w:szCs w:val="28"/>
          <w:shd w:fill="FFFFFF" w:val="clear"/>
        </w:rPr>
        <w:t xml:space="preserve">Students applying for </w:t>
      </w:r>
      <w:r>
        <w:rPr>
          <w:rFonts w:ascii="Cambria" w:hAnsi="Cambria"/>
          <w:b/>
          <w:bCs/>
          <w:color w:val="1B1B1B"/>
          <w:sz w:val="28"/>
          <w:szCs w:val="28"/>
          <w:shd w:fill="FFFFFF" w:val="clear"/>
          <w:lang w:val="fr-FR"/>
        </w:rPr>
        <w:t xml:space="preserve">Post-Doctoral </w:t>
      </w:r>
      <w:r>
        <w:rPr>
          <w:rStyle w:val="None"/>
          <w:rFonts w:ascii="Cambria" w:hAnsi="Cambria"/>
          <w:color w:val="1B1B1B"/>
          <w:sz w:val="28"/>
          <w:szCs w:val="28"/>
          <w:shd w:fill="FFFFFF" w:val="clear"/>
        </w:rPr>
        <w:t xml:space="preserve">courses should submit a </w:t>
      </w:r>
      <w:r>
        <w:rPr>
          <w:rFonts w:ascii="Cambria" w:hAnsi="Cambria"/>
          <w:b/>
          <w:bCs/>
          <w:color w:val="1B1B1B"/>
          <w:sz w:val="28"/>
          <w:szCs w:val="28"/>
          <w:shd w:fill="FFFFFF" w:val="clear"/>
        </w:rPr>
        <w:t xml:space="preserve">synopsis </w:t>
      </w:r>
      <w:r>
        <w:rPr>
          <w:rStyle w:val="None"/>
          <w:rFonts w:ascii="Cambria" w:hAnsi="Cambria"/>
          <w:color w:val="1B1B1B"/>
          <w:sz w:val="28"/>
          <w:szCs w:val="28"/>
          <w:shd w:fill="FFFFFF" w:val="clear"/>
        </w:rPr>
        <w:t>along with the application.</w:t>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2"/>
        </w:numPr>
        <w:spacing w:lineRule="auto" w:line="288" w:before="0" w:after="0"/>
        <w:jc w:val="both"/>
        <w:rPr>
          <w:rFonts w:ascii="Cambria" w:hAnsi="Cambria"/>
          <w:color w:val="1B1B1B"/>
          <w:sz w:val="28"/>
          <w:szCs w:val="28"/>
        </w:rPr>
      </w:pPr>
      <w:r>
        <w:rPr>
          <w:rFonts w:ascii="Cambria" w:hAnsi="Cambria"/>
          <w:color w:val="1B1B1B"/>
          <w:sz w:val="28"/>
          <w:szCs w:val="28"/>
          <w:shd w:fill="FFFFFF" w:val="clear"/>
        </w:rPr>
        <w:t xml:space="preserve">An applicant should have studied </w:t>
      </w:r>
      <w:r>
        <w:rPr>
          <w:rStyle w:val="None"/>
          <w:rFonts w:ascii="Cambria" w:hAnsi="Cambria"/>
          <w:b/>
          <w:bCs/>
          <w:color w:val="1B1B1B"/>
          <w:sz w:val="28"/>
          <w:szCs w:val="28"/>
          <w:shd w:fill="FFFFFF" w:val="clear"/>
        </w:rPr>
        <w:t xml:space="preserve">mathematics, physics and chemistry </w:t>
      </w:r>
      <w:r>
        <w:rPr>
          <w:rFonts w:ascii="Cambria" w:hAnsi="Cambria"/>
          <w:color w:val="1B1B1B"/>
          <w:sz w:val="28"/>
          <w:szCs w:val="28"/>
          <w:shd w:fill="FFFFFF" w:val="clear"/>
        </w:rPr>
        <w:t xml:space="preserve">at Higher Secondary level to be eligible  for  </w:t>
      </w:r>
      <w:r>
        <w:rPr>
          <w:rFonts w:ascii="Cambria" w:hAnsi="Cambria"/>
          <w:color w:val="1B1B1B"/>
          <w:sz w:val="28"/>
          <w:szCs w:val="28"/>
          <w:shd w:fill="FFFFFF" w:val="clear"/>
          <w:lang w:val="fr-FR"/>
        </w:rPr>
        <w:t>admission</w:t>
      </w:r>
      <w:r>
        <w:rPr>
          <w:rFonts w:ascii="Cambria" w:hAnsi="Cambria"/>
          <w:color w:val="1B1B1B"/>
          <w:sz w:val="28"/>
          <w:szCs w:val="28"/>
          <w:shd w:fill="FFFFFF" w:val="clear"/>
        </w:rPr>
        <w:t xml:space="preserve">  to  </w:t>
      </w:r>
      <w:r>
        <w:rPr>
          <w:rStyle w:val="None"/>
          <w:rFonts w:ascii="Cambria" w:hAnsi="Cambria"/>
          <w:b/>
          <w:bCs/>
          <w:color w:val="1B1B1B"/>
          <w:sz w:val="28"/>
          <w:szCs w:val="28"/>
          <w:shd w:fill="FFFFFF" w:val="clear"/>
        </w:rPr>
        <w:t xml:space="preserve">science/engineering courses. </w:t>
      </w:r>
      <w:r>
        <w:rPr>
          <w:rFonts w:ascii="Cambria" w:hAnsi="Cambria"/>
          <w:color w:val="1B1B1B"/>
          <w:sz w:val="28"/>
          <w:szCs w:val="28"/>
        </w:rPr>
        <w:t xml:space="preserve">Please note that for </w:t>
      </w:r>
      <w:r>
        <w:rPr>
          <w:rStyle w:val="None"/>
          <w:rFonts w:ascii="Cambria" w:hAnsi="Cambria"/>
          <w:b/>
          <w:bCs/>
          <w:color w:val="1B1B1B"/>
          <w:sz w:val="28"/>
          <w:szCs w:val="28"/>
        </w:rPr>
        <w:t>science courses</w:t>
      </w:r>
      <w:r>
        <w:rPr>
          <w:rFonts w:ascii="Cambria" w:hAnsi="Cambria"/>
          <w:color w:val="1B1B1B"/>
          <w:sz w:val="28"/>
          <w:szCs w:val="28"/>
        </w:rPr>
        <w:t>, the expenditure on laboratory chemicals and other related incidental charges will be borne by the scholars themselves.</w:t>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2"/>
        </w:numPr>
        <w:spacing w:lineRule="auto" w:line="288" w:before="0" w:after="0"/>
        <w:jc w:val="both"/>
        <w:rPr>
          <w:rFonts w:ascii="Cambria" w:hAnsi="Cambria"/>
          <w:color w:val="1B1B1B"/>
          <w:sz w:val="28"/>
          <w:szCs w:val="28"/>
          <w:highlight w:val="white"/>
        </w:rPr>
      </w:pPr>
      <w:r>
        <w:rPr>
          <w:rStyle w:val="None"/>
          <w:rFonts w:ascii="Cambria" w:hAnsi="Cambria"/>
          <w:b/>
          <w:bCs/>
          <w:color w:val="1B1B1B"/>
          <w:sz w:val="28"/>
          <w:szCs w:val="28"/>
          <w:shd w:fill="FFFFFF" w:val="clear"/>
        </w:rPr>
        <w:t>Personal medical insurance</w:t>
      </w:r>
      <w:r>
        <w:rPr>
          <w:rStyle w:val="None"/>
          <w:rFonts w:ascii="Cambria" w:hAnsi="Cambria"/>
          <w:color w:val="1B1B1B"/>
          <w:sz w:val="28"/>
          <w:szCs w:val="28"/>
          <w:shd w:fill="FFFFFF" w:val="clear"/>
        </w:rPr>
        <w:t xml:space="preserve"> is a mandatory requirement for availing ICCR’s scholarship. All ICCR scholarship students will have to procure Medical Insurance policy with minimum sum assured for</w:t>
      </w:r>
      <w:r>
        <w:rPr>
          <w:rStyle w:val="None"/>
          <w:rFonts w:ascii="Cambria" w:hAnsi="Cambria"/>
          <w:b/>
          <w:bCs/>
          <w:color w:val="1B1B1B"/>
          <w:sz w:val="28"/>
          <w:szCs w:val="28"/>
          <w:shd w:fill="FFFFFF" w:val="clear"/>
        </w:rPr>
        <w:t xml:space="preserve"> Indian Rupees Five Lakhs</w:t>
      </w:r>
      <w:r>
        <w:rPr>
          <w:rStyle w:val="None"/>
          <w:rFonts w:ascii="Cambria" w:hAnsi="Cambria"/>
          <w:color w:val="1B1B1B"/>
          <w:sz w:val="28"/>
          <w:szCs w:val="28"/>
          <w:shd w:fill="FFFFFF" w:val="clear"/>
        </w:rPr>
        <w:t xml:space="preserve"> which is equivalent to </w:t>
      </w:r>
      <w:r>
        <w:rPr>
          <w:rStyle w:val="None"/>
          <w:rFonts w:ascii="Cambria" w:hAnsi="Cambria"/>
          <w:b/>
          <w:bCs/>
          <w:color w:val="1B1B1B"/>
          <w:sz w:val="28"/>
          <w:szCs w:val="28"/>
          <w:shd w:fill="FFFFFF" w:val="clear"/>
        </w:rPr>
        <w:t>US$6800 per annum.</w:t>
      </w:r>
    </w:p>
    <w:p>
      <w:pPr>
        <w:pStyle w:val="Default"/>
        <w:spacing w:lineRule="auto" w:line="288" w:before="0" w:after="0"/>
        <w:jc w:val="both"/>
        <w:rPr>
          <w:rStyle w:val="None"/>
          <w:rFonts w:ascii="Cambria" w:hAnsi="Cambria" w:eastAsia="Times New Roman" w:cs="Times New Roman"/>
          <w:b/>
          <w:b/>
          <w:bCs/>
          <w:color w:val="1B1B1B"/>
          <w:sz w:val="28"/>
          <w:szCs w:val="28"/>
          <w:highlight w:val="white"/>
        </w:rPr>
      </w:pPr>
      <w:r>
        <w:rPr>
          <w:rFonts w:eastAsia="Times New Roman" w:cs="Times New Roman" w:ascii="Cambria" w:hAnsi="Cambria"/>
          <w:b/>
          <w:bCs/>
          <w:color w:val="1B1B1B"/>
          <w:sz w:val="28"/>
          <w:szCs w:val="28"/>
          <w:highlight w:val="white"/>
        </w:rPr>
      </w:r>
    </w:p>
    <w:p>
      <w:pPr>
        <w:pStyle w:val="Default"/>
        <w:numPr>
          <w:ilvl w:val="0"/>
          <w:numId w:val="2"/>
        </w:numPr>
        <w:spacing w:lineRule="auto" w:line="288" w:before="0" w:after="0"/>
        <w:jc w:val="both"/>
        <w:rPr>
          <w:rFonts w:ascii="Cambria" w:hAnsi="Cambria"/>
          <w:color w:val="1B1B1B"/>
          <w:sz w:val="28"/>
          <w:szCs w:val="28"/>
          <w:highlight w:val="white"/>
        </w:rPr>
      </w:pPr>
      <w:r>
        <w:rPr>
          <w:rFonts w:ascii="Cambria" w:hAnsi="Cambria"/>
          <w:color w:val="1B1B1B"/>
          <w:sz w:val="28"/>
          <w:szCs w:val="28"/>
          <w:shd w:fill="FFFFFF" w:val="clear"/>
        </w:rPr>
        <w:t xml:space="preserve">Medium of instruction is </w:t>
      </w:r>
      <w:r>
        <w:rPr>
          <w:rStyle w:val="None"/>
          <w:rFonts w:ascii="Cambria" w:hAnsi="Cambria"/>
          <w:b/>
          <w:bCs/>
          <w:color w:val="1B1B1B"/>
          <w:sz w:val="28"/>
          <w:szCs w:val="28"/>
          <w:shd w:fill="FFFFFF" w:val="clear"/>
        </w:rPr>
        <w:t xml:space="preserve">English </w:t>
      </w:r>
      <w:r>
        <w:rPr>
          <w:rFonts w:ascii="Cambria" w:hAnsi="Cambria"/>
          <w:color w:val="1B1B1B"/>
          <w:sz w:val="28"/>
          <w:szCs w:val="28"/>
          <w:shd w:fill="FFFFFF" w:val="clear"/>
        </w:rPr>
        <w:t>in all the Universities in lndia.</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2"/>
        </w:numPr>
        <w:spacing w:lineRule="auto" w:line="288" w:before="0" w:after="0"/>
        <w:jc w:val="both"/>
        <w:rPr>
          <w:rFonts w:ascii="Cambria" w:hAnsi="Cambria"/>
          <w:color w:val="1B1B1B"/>
          <w:sz w:val="28"/>
          <w:szCs w:val="28"/>
          <w:highlight w:val="white"/>
        </w:rPr>
      </w:pPr>
      <w:r>
        <w:rPr>
          <w:rFonts w:ascii="Cambria" w:hAnsi="Cambria"/>
          <w:color w:val="1B1B1B"/>
          <w:sz w:val="28"/>
          <w:szCs w:val="28"/>
          <w:shd w:fill="FFFFFF" w:val="clear"/>
        </w:rPr>
        <w:t xml:space="preserve">While filling the application, applicant have to </w:t>
      </w:r>
      <w:r>
        <w:rPr>
          <w:rStyle w:val="None"/>
          <w:rFonts w:ascii="Cambria" w:hAnsi="Cambria"/>
          <w:b/>
          <w:bCs/>
          <w:color w:val="1B1B1B"/>
          <w:sz w:val="28"/>
          <w:szCs w:val="28"/>
          <w:shd w:fill="FFFFFF" w:val="clear"/>
        </w:rPr>
        <w:t>write a 500-word essay in English</w:t>
      </w:r>
      <w:r>
        <w:rPr>
          <w:rFonts w:ascii="Cambria" w:hAnsi="Cambria"/>
          <w:color w:val="1B1B1B"/>
          <w:sz w:val="28"/>
          <w:szCs w:val="28"/>
          <w:shd w:fill="FFFFFF" w:val="clear"/>
        </w:rPr>
        <w:t xml:space="preserve"> on one of the topics / subject mentioned in the Portal.  There is an optional provision for applicants to provide their </w:t>
      </w:r>
      <w:r>
        <w:rPr>
          <w:rStyle w:val="None"/>
          <w:rFonts w:ascii="Cambria" w:hAnsi="Cambria"/>
          <w:b/>
          <w:bCs/>
          <w:color w:val="1B1B1B"/>
          <w:sz w:val="28"/>
          <w:szCs w:val="28"/>
          <w:shd w:fill="FFFFFF" w:val="clear"/>
        </w:rPr>
        <w:t>standardised test scores</w:t>
      </w:r>
      <w:r>
        <w:rPr>
          <w:rFonts w:ascii="Cambria" w:hAnsi="Cambria"/>
          <w:color w:val="1B1B1B"/>
          <w:sz w:val="28"/>
          <w:szCs w:val="28"/>
          <w:shd w:fill="FFFFFF" w:val="clear"/>
        </w:rPr>
        <w:t xml:space="preserve">, if available in any of the English Proficiency Tests like </w:t>
      </w:r>
      <w:r>
        <w:rPr>
          <w:rStyle w:val="None"/>
          <w:rFonts w:ascii="Cambria" w:hAnsi="Cambria"/>
          <w:b/>
          <w:bCs/>
          <w:color w:val="1B1B1B"/>
          <w:sz w:val="28"/>
          <w:szCs w:val="28"/>
          <w:shd w:fill="FFFFFF" w:val="clear"/>
        </w:rPr>
        <w:t>TOFEL/IEL</w:t>
      </w:r>
      <w:r>
        <w:rPr>
          <w:rStyle w:val="None"/>
          <w:rFonts w:ascii="Cambria" w:hAnsi="Cambria"/>
          <w:b/>
          <w:bCs/>
          <w:color w:val="1B1B1B"/>
          <w:sz w:val="28"/>
          <w:szCs w:val="28"/>
          <w:shd w:fill="FFFFFF" w:val="clear"/>
          <w:lang w:val="fr-FR"/>
        </w:rPr>
        <w:t>TS etc</w:t>
      </w:r>
      <w:r>
        <w:rPr>
          <w:rFonts w:ascii="Cambria" w:hAnsi="Cambria"/>
          <w:color w:val="1B1B1B"/>
          <w:sz w:val="28"/>
          <w:szCs w:val="28"/>
          <w:shd w:fill="FFFFFF" w:val="clear"/>
        </w:rPr>
        <w:t>.</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5"/>
        </w:numPr>
        <w:spacing w:lineRule="auto" w:line="288" w:before="0" w:after="0"/>
        <w:jc w:val="both"/>
        <w:rPr>
          <w:rFonts w:ascii="Cambria" w:hAnsi="Cambria" w:eastAsia="Times New Roman" w:cs="Times New Roman"/>
          <w:color w:val="1B1B1B"/>
          <w:sz w:val="28"/>
          <w:szCs w:val="28"/>
          <w:highlight w:val="white"/>
        </w:rPr>
      </w:pPr>
      <w:r>
        <w:rPr>
          <w:rFonts w:ascii="Cambria" w:hAnsi="Cambria"/>
          <w:color w:val="1B1B1B"/>
          <w:sz w:val="28"/>
          <w:szCs w:val="28"/>
          <w:shd w:fill="FFFFFF" w:val="clear"/>
        </w:rPr>
        <w:t>Student has option of applying i</w:t>
      </w:r>
      <w:r>
        <w:rPr>
          <w:rStyle w:val="None"/>
          <w:rFonts w:ascii="Cambria" w:hAnsi="Cambria"/>
          <w:b/>
          <w:bCs/>
          <w:color w:val="1B1B1B"/>
          <w:sz w:val="28"/>
          <w:szCs w:val="28"/>
          <w:shd w:fill="FFFFFF" w:val="clear"/>
        </w:rPr>
        <w:t xml:space="preserve">n 5 Universities/lnstitutes    of his/her choice in preferential order. </w:t>
      </w:r>
      <w:r>
        <w:rPr>
          <w:rFonts w:ascii="Cambria" w:hAnsi="Cambria"/>
          <w:color w:val="1B1B1B"/>
          <w:sz w:val="28"/>
          <w:szCs w:val="28"/>
          <w:shd w:fill="FFFFFF" w:val="clear"/>
        </w:rPr>
        <w:t>Indian Universities/ Educational institutions are autonomous and independent bodies and have their own eligibility criteria on the basis  of which they confirm admissions.</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numPr>
          <w:ilvl w:val="0"/>
          <w:numId w:val="5"/>
        </w:numPr>
        <w:spacing w:lineRule="auto" w:line="288" w:before="0" w:after="0"/>
        <w:jc w:val="both"/>
        <w:rPr>
          <w:rFonts w:ascii="Cambria" w:hAnsi="Cambria" w:eastAsia="Times New Roman" w:cs="Times New Roman"/>
          <w:color w:val="1B1B1B"/>
          <w:sz w:val="28"/>
          <w:szCs w:val="28"/>
          <w:highlight w:val="white"/>
        </w:rPr>
      </w:pPr>
      <w:r>
        <w:rPr>
          <w:rFonts w:ascii="Cambria" w:hAnsi="Cambria"/>
          <w:color w:val="1B1B1B"/>
          <w:sz w:val="28"/>
          <w:szCs w:val="28"/>
          <w:shd w:fill="FFFFFF" w:val="clear"/>
        </w:rPr>
        <w:t xml:space="preserve">Students are advised to </w:t>
      </w:r>
      <w:r>
        <w:rPr>
          <w:rStyle w:val="None"/>
          <w:rFonts w:ascii="Cambria" w:hAnsi="Cambria"/>
          <w:b/>
          <w:bCs/>
          <w:color w:val="1B1B1B"/>
          <w:sz w:val="28"/>
          <w:szCs w:val="28"/>
          <w:shd w:fill="FFFFFF" w:val="clear"/>
        </w:rPr>
        <w:t xml:space="preserve">stay in the hostel, if available. </w:t>
      </w:r>
      <w:r>
        <w:rPr>
          <w:rFonts w:ascii="Cambria" w:hAnsi="Cambria"/>
          <w:color w:val="1B1B1B"/>
          <w:sz w:val="28"/>
          <w:szCs w:val="28"/>
          <w:shd w:fill="FFFFFF" w:val="clear"/>
        </w:rPr>
        <w:t>However, students are allowed to stay in private accommodation if the concerned institute does not insist.</w:t>
      </w:r>
    </w:p>
    <w:p>
      <w:pPr>
        <w:pStyle w:val="Default"/>
        <w:spacing w:lineRule="auto" w:line="288" w:before="0" w:after="0"/>
        <w:jc w:val="both"/>
        <w:rPr>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shd w:fill="FFFFFF" w:val="clear"/>
        </w:rPr>
        <w:t xml:space="preserve">Detailed Guidelines </w:t>
      </w:r>
      <w:r>
        <w:rPr>
          <w:rStyle w:val="None"/>
          <w:rFonts w:ascii="Cambria" w:hAnsi="Cambria"/>
          <w:color w:val="1B1B1B"/>
          <w:sz w:val="28"/>
          <w:szCs w:val="28"/>
          <w:shd w:fill="FFFFFF" w:val="clear"/>
        </w:rPr>
        <w:t>are available at</w:t>
      </w:r>
      <w:r>
        <w:rPr>
          <w:rFonts w:ascii="Cambria" w:hAnsi="Cambria"/>
          <w:b/>
          <w:bCs/>
          <w:color w:val="1B1B1B"/>
          <w:sz w:val="28"/>
          <w:szCs w:val="28"/>
          <w:shd w:fill="FFFFFF" w:val="clear"/>
        </w:rPr>
        <w:t>:</w:t>
      </w:r>
    </w:p>
    <w:p>
      <w:pPr>
        <w:pStyle w:val="Default"/>
        <w:spacing w:lineRule="auto" w:line="288" w:before="0" w:after="0"/>
        <w:jc w:val="both"/>
        <w:rPr/>
      </w:pPr>
      <w:hyperlink r:id="rId22">
        <w:r>
          <w:rPr>
            <w:rStyle w:val="Hyperlink1"/>
            <w:rFonts w:ascii="Cambria" w:hAnsi="Cambria"/>
            <w:color w:val="416ED2"/>
            <w:sz w:val="28"/>
            <w:szCs w:val="28"/>
            <w:shd w:fill="FFFFFF" w:val="clear"/>
          </w:rPr>
          <w:t>www.a2ascholarships.iccr.gov.in</w:t>
        </w:r>
      </w:hyperlink>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Fonts w:ascii="Cambria" w:hAnsi="Cambria"/>
          <w:b/>
          <w:b/>
          <w:bCs/>
          <w:color w:val="1B1B1B"/>
          <w:sz w:val="28"/>
          <w:szCs w:val="28"/>
          <w:highlight w:val="white"/>
        </w:rPr>
      </w:pPr>
      <w:r>
        <w:rPr>
          <w:rFonts w:ascii="Cambria" w:hAnsi="Cambria"/>
          <w:b/>
          <w:bCs/>
          <w:color w:val="1B1B1B"/>
          <w:sz w:val="28"/>
          <w:szCs w:val="28"/>
          <w:shd w:fill="FFFFFF" w:val="clear"/>
        </w:rPr>
        <w:t>Instructions for Applicants:</w:t>
      </w:r>
    </w:p>
    <w:p>
      <w:pPr>
        <w:pStyle w:val="Default"/>
        <w:spacing w:lineRule="auto" w:line="288" w:before="0" w:after="0"/>
        <w:jc w:val="both"/>
        <w:rPr/>
      </w:pPr>
      <w:hyperlink r:id="rId23">
        <w:r>
          <w:rPr>
            <w:rStyle w:val="Hyperlink1"/>
            <w:rFonts w:ascii="Cambria" w:hAnsi="Cambria"/>
            <w:color w:val="416ED2"/>
            <w:sz w:val="28"/>
            <w:szCs w:val="28"/>
            <w:shd w:fill="FFFFFF" w:val="clear"/>
          </w:rPr>
          <w:t>http://a2ascholarships.iccr.gov.in/assets/site/docs/applicant_guidelines_beforef</w:t>
        </w:r>
      </w:hyperlink>
      <w:r>
        <w:rPr>
          <w:rStyle w:val="None"/>
          <w:rFonts w:ascii="Cambria" w:hAnsi="Cambria"/>
          <w:color w:val="1B1B1B"/>
          <w:sz w:val="28"/>
          <w:szCs w:val="28"/>
          <w:shd w:fill="FFFFFF" w:val="clear"/>
        </w:rPr>
        <w:t xml:space="preserve"> </w:t>
      </w:r>
      <w:hyperlink r:id="rId24">
        <w:r>
          <w:rPr>
            <w:rStyle w:val="Hyperlink1"/>
            <w:rFonts w:ascii="Cambria" w:hAnsi="Cambria"/>
            <w:color w:val="416ED2"/>
            <w:sz w:val="28"/>
            <w:szCs w:val="28"/>
            <w:shd w:fill="FFFFFF" w:val="clear"/>
          </w:rPr>
          <w:t>illing.pdf</w:t>
        </w:r>
      </w:hyperlink>
    </w:p>
    <w:p>
      <w:pPr>
        <w:pStyle w:val="Default"/>
        <w:spacing w:lineRule="auto" w:line="288" w:before="0" w:after="0"/>
        <w:jc w:val="both"/>
        <w:rPr>
          <w:rStyle w:val="None"/>
          <w:rFonts w:ascii="Cambria" w:hAnsi="Cambria" w:eastAsia="Times New Roman" w:cs="Times New Roman"/>
          <w:color w:val="1B1B1B"/>
          <w:sz w:val="28"/>
          <w:szCs w:val="28"/>
          <w:highlight w:val="white"/>
        </w:rPr>
      </w:pPr>
      <w:r>
        <w:rPr>
          <w:rFonts w:eastAsia="Times New Roman" w:cs="Times New Roman" w:ascii="Cambria" w:hAnsi="Cambria"/>
          <w:color w:val="1B1B1B"/>
          <w:sz w:val="28"/>
          <w:szCs w:val="28"/>
          <w:highlight w:val="white"/>
        </w:rPr>
      </w:r>
    </w:p>
    <w:p>
      <w:pPr>
        <w:pStyle w:val="Default"/>
        <w:spacing w:lineRule="auto" w:line="288" w:before="0" w:after="0"/>
        <w:jc w:val="both"/>
        <w:rPr>
          <w:rStyle w:val="None"/>
          <w:rFonts w:ascii="Cambria" w:hAnsi="Cambria"/>
          <w:b/>
          <w:b/>
          <w:bCs/>
          <w:color w:val="1B1B1B"/>
          <w:sz w:val="28"/>
          <w:szCs w:val="28"/>
          <w:highlight w:val="white"/>
        </w:rPr>
      </w:pPr>
      <w:r>
        <w:rPr>
          <w:rStyle w:val="None"/>
          <w:rFonts w:ascii="Cambria" w:hAnsi="Cambria"/>
          <w:b/>
          <w:bCs/>
          <w:color w:val="1B1B1B"/>
          <w:sz w:val="28"/>
          <w:szCs w:val="28"/>
          <w:shd w:fill="FFFFFF" w:val="clear"/>
          <w:lang w:val="de-DE"/>
        </w:rPr>
        <w:t>For FAQ´</w:t>
      </w:r>
      <w:r>
        <w:rPr>
          <w:rStyle w:val="None"/>
          <w:rFonts w:ascii="Cambria" w:hAnsi="Cambria"/>
          <w:b/>
          <w:bCs/>
          <w:color w:val="1B1B1B"/>
          <w:sz w:val="28"/>
          <w:szCs w:val="28"/>
          <w:shd w:fill="FFFFFF" w:val="clear"/>
        </w:rPr>
        <w:t xml:space="preserve">s, </w:t>
      </w:r>
      <w:r>
        <w:rPr>
          <w:rStyle w:val="None"/>
          <w:rFonts w:ascii="Cambria" w:hAnsi="Cambria"/>
          <w:color w:val="1B1B1B"/>
          <w:sz w:val="28"/>
          <w:szCs w:val="28"/>
          <w:shd w:fill="FFFFFF" w:val="clear"/>
        </w:rPr>
        <w:t>kindly refer to the link below</w:t>
      </w:r>
      <w:r>
        <w:rPr>
          <w:rStyle w:val="None"/>
          <w:rFonts w:ascii="Cambria" w:hAnsi="Cambria"/>
          <w:b/>
          <w:bCs/>
          <w:color w:val="1B1B1B"/>
          <w:sz w:val="28"/>
          <w:szCs w:val="28"/>
          <w:shd w:fill="FFFFFF" w:val="clear"/>
        </w:rPr>
        <w:t>:</w:t>
      </w:r>
    </w:p>
    <w:p>
      <w:pPr>
        <w:pStyle w:val="Default"/>
        <w:spacing w:lineRule="auto" w:line="288" w:before="0" w:after="0"/>
        <w:jc w:val="both"/>
        <w:rPr/>
      </w:pPr>
      <w:hyperlink r:id="rId25">
        <w:r>
          <w:rPr>
            <w:rStyle w:val="Hyperlink2"/>
            <w:rFonts w:ascii="Cambria" w:hAnsi="Cambria"/>
            <w:color w:val="416ED2"/>
            <w:sz w:val="28"/>
            <w:szCs w:val="28"/>
            <w:shd w:fill="FFFFFF" w:val="clear"/>
          </w:rPr>
          <w:t xml:space="preserve"> </w:t>
        </w:r>
        <w:r>
          <w:rPr>
            <w:rStyle w:val="ListLabel59"/>
            <w:rFonts w:ascii="Cambria" w:hAnsi="Cambria"/>
            <w:color w:val="416ED2"/>
            <w:sz w:val="28"/>
            <w:szCs w:val="28"/>
            <w:shd w:fill="FFFFFF" w:val="clear"/>
          </w:rPr>
          <w:t>http://a2ascholarships.iccr.gov.in/home/page/faq</w:t>
        </w:r>
      </w:hyperlink>
    </w:p>
    <w:p>
      <w:pPr>
        <w:pStyle w:val="Default"/>
        <w:spacing w:lineRule="auto" w:line="288" w:before="0" w:after="0"/>
        <w:jc w:val="both"/>
        <w:rPr>
          <w:rFonts w:ascii="Cambria" w:hAnsi="Cambria"/>
          <w:color w:val="416ED2"/>
          <w:sz w:val="28"/>
          <w:szCs w:val="28"/>
          <w:highlight w:val="white"/>
          <w:lang w:val="de-DE"/>
        </w:rPr>
      </w:pPr>
      <w:r>
        <w:rPr>
          <w:rFonts w:ascii="Cambria" w:hAnsi="Cambria"/>
          <w:color w:val="416ED2"/>
          <w:sz w:val="28"/>
          <w:szCs w:val="28"/>
          <w:highlight w:val="white"/>
          <w:lang w:val="de-DE"/>
        </w:rPr>
      </w:r>
    </w:p>
    <w:p>
      <w:pPr>
        <w:pStyle w:val="Default"/>
        <w:spacing w:lineRule="auto" w:line="288" w:before="0" w:after="0"/>
        <w:jc w:val="both"/>
        <w:rPr/>
      </w:pPr>
      <w:r>
        <w:rPr>
          <w:rFonts w:ascii="Cambria" w:hAnsi="Cambria"/>
          <w:color w:val="1B1B1B"/>
          <w:sz w:val="28"/>
          <w:szCs w:val="28"/>
          <w:shd w:fill="FFFFFF" w:val="clear"/>
        </w:rPr>
        <w:t>For   </w:t>
      </w:r>
      <w:r>
        <w:rPr>
          <w:rFonts w:ascii="Cambria" w:hAnsi="Cambria"/>
          <w:color w:val="1B1B1B"/>
          <w:sz w:val="28"/>
          <w:szCs w:val="28"/>
          <w:shd w:fill="FFFFFF" w:val="clear"/>
          <w:lang w:val="fr-FR"/>
        </w:rPr>
        <w:t>information</w:t>
      </w:r>
      <w:r>
        <w:rPr>
          <w:rFonts w:ascii="Cambria" w:hAnsi="Cambria"/>
          <w:color w:val="1B1B1B"/>
          <w:sz w:val="28"/>
          <w:szCs w:val="28"/>
          <w:shd w:fill="FFFFFF" w:val="clear"/>
        </w:rPr>
        <w:t>   on   </w:t>
      </w:r>
      <w:r>
        <w:rPr>
          <w:rStyle w:val="Hyperlink2"/>
          <w:rFonts w:ascii="Cambria" w:hAnsi="Cambria"/>
          <w:color w:val="1B1B1B"/>
          <w:sz w:val="28"/>
          <w:szCs w:val="28"/>
          <w:shd w:fill="FFFFFF" w:val="clear"/>
          <w:lang w:val="pt-PT"/>
        </w:rPr>
        <w:t xml:space="preserve">Financial </w:t>
      </w:r>
      <w:r>
        <w:rPr>
          <w:rStyle w:val="Hyperlink2"/>
          <w:rFonts w:ascii="Cambria" w:hAnsi="Cambria"/>
          <w:color w:val="1B1B1B"/>
          <w:sz w:val="28"/>
          <w:szCs w:val="28"/>
          <w:shd w:fill="FFFFFF" w:val="clear"/>
        </w:rPr>
        <w:t> Terms  and  </w:t>
      </w:r>
      <w:r>
        <w:rPr>
          <w:rStyle w:val="Hyperlink2"/>
          <w:rFonts w:ascii="Cambria" w:hAnsi="Cambria"/>
          <w:color w:val="1B1B1B"/>
          <w:sz w:val="28"/>
          <w:szCs w:val="28"/>
          <w:shd w:fill="FFFFFF" w:val="clear"/>
          <w:lang w:val="fr-FR"/>
        </w:rPr>
        <w:t>Conditions</w:t>
      </w:r>
      <w:r>
        <w:rPr>
          <w:rFonts w:ascii="Cambria" w:hAnsi="Cambria"/>
          <w:color w:val="1B1B1B"/>
          <w:sz w:val="28"/>
          <w:szCs w:val="28"/>
          <w:shd w:fill="FFFFFF" w:val="clear"/>
        </w:rPr>
        <w:t>,   please   </w:t>
      </w:r>
      <w:r>
        <w:rPr>
          <w:rFonts w:ascii="Cambria" w:hAnsi="Cambria"/>
          <w:color w:val="1B1B1B"/>
          <w:sz w:val="28"/>
          <w:szCs w:val="28"/>
          <w:shd w:fill="FFFFFF" w:val="clear"/>
          <w:lang w:val="pt-PT"/>
        </w:rPr>
        <w:t>refer</w:t>
      </w:r>
      <w:r>
        <w:rPr>
          <w:rFonts w:ascii="Cambria" w:hAnsi="Cambria"/>
          <w:color w:val="1B1B1B"/>
          <w:sz w:val="28"/>
          <w:szCs w:val="28"/>
          <w:shd w:fill="FFFFFF" w:val="clear"/>
        </w:rPr>
        <w:t>   to link below:</w:t>
      </w:r>
      <w:hyperlink r:id="rId26">
        <w:r>
          <w:rPr>
            <w:rStyle w:val="Hyperlink0"/>
            <w:rFonts w:ascii="Cambria" w:hAnsi="Cambria"/>
            <w:sz w:val="28"/>
            <w:szCs w:val="28"/>
            <w:highlight w:val="white"/>
          </w:rPr>
          <w:t xml:space="preserve"> http://a2ascholarships.iccr.gov.in/assets/site/docs/Financial_Terms.pdf</w:t>
        </w:r>
      </w:hyperlink>
    </w:p>
    <w:p>
      <w:pPr>
        <w:pStyle w:val="Default"/>
        <w:spacing w:lineRule="auto" w:line="288" w:before="0" w:after="0"/>
        <w:jc w:val="both"/>
        <w:rPr>
          <w:rFonts w:ascii="Cambria" w:hAnsi="Cambria"/>
          <w:color w:val="1B1B1B"/>
          <w:sz w:val="28"/>
          <w:szCs w:val="28"/>
          <w:highlight w:val="white"/>
        </w:rPr>
      </w:pPr>
      <w:r>
        <w:rPr>
          <w:rFonts w:ascii="Cambria" w:hAnsi="Cambria"/>
          <w:color w:val="1B1B1B"/>
          <w:sz w:val="28"/>
          <w:szCs w:val="28"/>
          <w:highlight w:val="white"/>
        </w:rPr>
      </w:r>
    </w:p>
    <w:p>
      <w:pPr>
        <w:pStyle w:val="Default"/>
        <w:spacing w:lineRule="auto" w:line="288" w:before="0" w:after="0"/>
        <w:jc w:val="both"/>
        <w:rPr/>
      </w:pPr>
      <w:r>
        <w:rPr>
          <w:rFonts w:ascii="Cambria" w:hAnsi="Cambria"/>
          <w:color w:val="1B1B1B"/>
          <w:sz w:val="28"/>
          <w:szCs w:val="28"/>
          <w:shd w:fill="FFFFFF" w:val="clear"/>
        </w:rPr>
        <w:t xml:space="preserve">For any further queries, interested students should contact the Culture and Academics Section of the Embassy of India in Madrid by email </w:t>
      </w:r>
      <w:r>
        <w:rPr>
          <w:rFonts w:ascii="Cambria" w:hAnsi="Cambria"/>
          <w:color w:val="0070C0"/>
          <w:sz w:val="28"/>
          <w:szCs w:val="28"/>
          <w:shd w:fill="FFFFFF" w:val="clear"/>
        </w:rPr>
        <w:t>ss</w:t>
      </w:r>
      <w:hyperlink r:id="rId27">
        <w:r>
          <w:rPr>
            <w:rStyle w:val="Hyperlink0"/>
            <w:rFonts w:ascii="Cambria" w:hAnsi="Cambria"/>
            <w:color w:val="0070C0"/>
            <w:sz w:val="28"/>
            <w:szCs w:val="28"/>
            <w:highlight w:val="white"/>
          </w:rPr>
          <w:t>cul.madrid@mea.gov.in</w:t>
        </w:r>
      </w:hyperlink>
      <w:r>
        <w:rPr>
          <w:rFonts w:ascii="Cambria" w:hAnsi="Cambria"/>
          <w:color w:val="1B1B1B"/>
          <w:sz w:val="28"/>
          <w:szCs w:val="28"/>
          <w:shd w:fill="FFFFFF" w:val="clear"/>
        </w:rPr>
        <w:t xml:space="preserve"> and </w:t>
      </w:r>
      <w:r>
        <w:rPr>
          <w:rStyle w:val="Hyperlink0"/>
          <w:rFonts w:ascii="Cambria" w:hAnsi="Cambria"/>
          <w:sz w:val="28"/>
          <w:szCs w:val="28"/>
          <w:highlight w:val="white"/>
        </w:rPr>
        <w:t>tic.madrid@mea.gov.in</w:t>
      </w:r>
    </w:p>
    <w:p>
      <w:pPr>
        <w:pStyle w:val="Normal"/>
        <w:rPr/>
      </w:pPr>
      <w:r>
        <w:rPr/>
      </w:r>
    </w:p>
    <w:p>
      <w:pPr>
        <w:pStyle w:val="Default"/>
        <w:spacing w:lineRule="auto" w:line="288" w:before="0" w:after="0"/>
        <w:jc w:val="both"/>
        <w:rPr/>
      </w:pPr>
      <w:r>
        <w:rPr/>
      </w:r>
    </w:p>
    <w:sectPr>
      <w:headerReference w:type="default" r:id="rId28"/>
      <w:footerReference w:type="default" r:id="rId29"/>
      <w:type w:val="nextPage"/>
      <w:pgSz w:w="11906" w:h="16838"/>
      <w:pgMar w:left="1134" w:right="1134" w:header="709" w:top="1134" w:footer="850" w:bottom="1134"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variable"/>
  </w:font>
  <w:font w:name="Segoe UI">
    <w:charset w:val="01"/>
    <w:family w:val="roman"/>
    <w:pitch w:val="variable"/>
  </w:font>
  <w:font w:name="Cambria">
    <w:charset w:val="01"/>
    <w:family w:val="roman"/>
    <w:pitch w:val="variable"/>
  </w:font>
  <w:font w:name="Liberation Sans">
    <w:altName w:val="Arial"/>
    <w:charset w:val="01"/>
    <w:family w:val="roman"/>
    <w:pitch w:val="variable"/>
  </w:font>
  <w:font w:name="Helvetica Neue">
    <w:charset w:val="01"/>
    <w:family w:val="roman"/>
    <w:pitch w:val="variable"/>
  </w:font>
  <w:font w:name="Helvetica Neue">
    <w:charset w:val="01"/>
    <w:family w:val="auto"/>
    <w:pitch w:val="default"/>
  </w:font>
  <w:font w:name="Symbol">
    <w:charset w:val="02"/>
    <w:family w:val="auto"/>
    <w:pitch w:val="default"/>
  </w:font>
  <w:font w:name="Courier New">
    <w:charset w:val="01"/>
    <w:family w:val="auto"/>
    <w:pitch w:val="default"/>
  </w:font>
  <w:font w:name="Wingdings">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lowerLetter"/>
      <w:lvlText w:val="(%1)"/>
      <w:lvlJc w:val="left"/>
      <w:pPr>
        <w:ind w:left="842" w:hanging="842"/>
      </w:pPr>
      <w:rPr>
        <w:smallCaps w:val="false"/>
        <w:caps w:val="false"/>
        <w:outline w:val="false"/>
        <w:dstrike w:val="false"/>
        <w:strike w:val="false"/>
        <w:vertAlign w:val="baseline"/>
        <w:position w:val="0"/>
        <w:sz w:val="28"/>
        <w:sz w:val="28"/>
        <w:spacing w:val="0"/>
        <w:b/>
        <w:kern w:val="0"/>
        <w:bCs/>
        <w:w w:val="100"/>
        <w:emboss w:val="false"/>
        <w:imprint w:val="false"/>
        <w:rFonts w:ascii="Cambria" w:hAnsi="Cambria"/>
      </w:rPr>
    </w:lvl>
    <w:lvl w:ilvl="1">
      <w:start w:val="1"/>
      <w:numFmt w:val="lowerLetter"/>
      <w:lvlText w:val="(%2)"/>
      <w:lvlJc w:val="left"/>
      <w:pPr>
        <w:ind w:left="1202" w:hanging="842"/>
      </w:pPr>
      <w:rPr>
        <w:smallCaps w:val="false"/>
        <w:caps w:val="false"/>
        <w:outline w:val="false"/>
        <w:dstrike w:val="false"/>
        <w:strike w:val="false"/>
        <w:vertAlign w:val="baseline"/>
        <w:position w:val="0"/>
        <w:sz w:val="24"/>
        <w:sz w:val="24"/>
        <w:spacing w:val="0"/>
        <w:b/>
        <w:kern w:val="0"/>
        <w:bCs/>
        <w:w w:val="100"/>
        <w:emboss w:val="false"/>
        <w:imprint w:val="false"/>
      </w:rPr>
    </w:lvl>
    <w:lvl w:ilvl="2">
      <w:start w:val="1"/>
      <w:numFmt w:val="lowerLetter"/>
      <w:lvlText w:val="(%3)"/>
      <w:lvlJc w:val="left"/>
      <w:pPr>
        <w:ind w:left="1562" w:hanging="842"/>
      </w:pPr>
      <w:rPr>
        <w:smallCaps w:val="false"/>
        <w:caps w:val="false"/>
        <w:outline w:val="false"/>
        <w:dstrike w:val="false"/>
        <w:strike w:val="false"/>
        <w:vertAlign w:val="baseline"/>
        <w:position w:val="0"/>
        <w:sz w:val="24"/>
        <w:sz w:val="24"/>
        <w:spacing w:val="0"/>
        <w:b/>
        <w:kern w:val="0"/>
        <w:bCs/>
        <w:w w:val="100"/>
        <w:emboss w:val="false"/>
        <w:imprint w:val="false"/>
      </w:rPr>
    </w:lvl>
    <w:lvl w:ilvl="3">
      <w:start w:val="1"/>
      <w:numFmt w:val="lowerLetter"/>
      <w:lvlText w:val="(%4)"/>
      <w:lvlJc w:val="left"/>
      <w:pPr>
        <w:ind w:left="1922" w:hanging="842"/>
      </w:pPr>
      <w:rPr>
        <w:smallCaps w:val="false"/>
        <w:caps w:val="false"/>
        <w:outline w:val="false"/>
        <w:dstrike w:val="false"/>
        <w:strike w:val="false"/>
        <w:vertAlign w:val="baseline"/>
        <w:position w:val="0"/>
        <w:sz w:val="24"/>
        <w:sz w:val="24"/>
        <w:spacing w:val="0"/>
        <w:b/>
        <w:kern w:val="0"/>
        <w:bCs/>
        <w:w w:val="100"/>
        <w:emboss w:val="false"/>
        <w:imprint w:val="false"/>
      </w:rPr>
    </w:lvl>
    <w:lvl w:ilvl="4">
      <w:start w:val="1"/>
      <w:numFmt w:val="lowerLetter"/>
      <w:lvlText w:val="(%5)"/>
      <w:lvlJc w:val="left"/>
      <w:pPr>
        <w:ind w:left="2282" w:hanging="842"/>
      </w:pPr>
      <w:rPr>
        <w:smallCaps w:val="false"/>
        <w:caps w:val="false"/>
        <w:outline w:val="false"/>
        <w:dstrike w:val="false"/>
        <w:strike w:val="false"/>
        <w:vertAlign w:val="baseline"/>
        <w:position w:val="0"/>
        <w:sz w:val="24"/>
        <w:sz w:val="24"/>
        <w:spacing w:val="0"/>
        <w:b/>
        <w:kern w:val="0"/>
        <w:bCs/>
        <w:w w:val="100"/>
        <w:emboss w:val="false"/>
        <w:imprint w:val="false"/>
      </w:rPr>
    </w:lvl>
    <w:lvl w:ilvl="5">
      <w:start w:val="1"/>
      <w:numFmt w:val="lowerLetter"/>
      <w:lvlText w:val="(%6)"/>
      <w:lvlJc w:val="left"/>
      <w:pPr>
        <w:ind w:left="2642" w:hanging="842"/>
      </w:pPr>
      <w:rPr>
        <w:smallCaps w:val="false"/>
        <w:caps w:val="false"/>
        <w:outline w:val="false"/>
        <w:dstrike w:val="false"/>
        <w:strike w:val="false"/>
        <w:vertAlign w:val="baseline"/>
        <w:position w:val="0"/>
        <w:sz w:val="24"/>
        <w:sz w:val="24"/>
        <w:spacing w:val="0"/>
        <w:b/>
        <w:kern w:val="0"/>
        <w:bCs/>
        <w:w w:val="100"/>
        <w:emboss w:val="false"/>
        <w:imprint w:val="false"/>
      </w:rPr>
    </w:lvl>
    <w:lvl w:ilvl="6">
      <w:start w:val="1"/>
      <w:numFmt w:val="lowerLetter"/>
      <w:lvlText w:val="(%7)"/>
      <w:lvlJc w:val="left"/>
      <w:pPr>
        <w:ind w:left="3002" w:hanging="842"/>
      </w:pPr>
      <w:rPr>
        <w:smallCaps w:val="false"/>
        <w:caps w:val="false"/>
        <w:outline w:val="false"/>
        <w:dstrike w:val="false"/>
        <w:strike w:val="false"/>
        <w:vertAlign w:val="baseline"/>
        <w:position w:val="0"/>
        <w:sz w:val="24"/>
        <w:sz w:val="24"/>
        <w:spacing w:val="0"/>
        <w:b/>
        <w:kern w:val="0"/>
        <w:bCs/>
        <w:w w:val="100"/>
        <w:emboss w:val="false"/>
        <w:imprint w:val="false"/>
      </w:rPr>
    </w:lvl>
    <w:lvl w:ilvl="7">
      <w:start w:val="1"/>
      <w:numFmt w:val="lowerLetter"/>
      <w:lvlText w:val="(%8)"/>
      <w:lvlJc w:val="left"/>
      <w:pPr>
        <w:ind w:left="3362" w:hanging="842"/>
      </w:pPr>
      <w:rPr>
        <w:smallCaps w:val="false"/>
        <w:caps w:val="false"/>
        <w:outline w:val="false"/>
        <w:dstrike w:val="false"/>
        <w:strike w:val="false"/>
        <w:vertAlign w:val="baseline"/>
        <w:position w:val="0"/>
        <w:sz w:val="24"/>
        <w:sz w:val="24"/>
        <w:spacing w:val="0"/>
        <w:b/>
        <w:kern w:val="0"/>
        <w:bCs/>
        <w:w w:val="100"/>
        <w:emboss w:val="false"/>
        <w:imprint w:val="false"/>
      </w:rPr>
    </w:lvl>
    <w:lvl w:ilvl="8">
      <w:start w:val="1"/>
      <w:numFmt w:val="lowerLetter"/>
      <w:lvlText w:val="(%9)"/>
      <w:lvlJc w:val="left"/>
      <w:pPr>
        <w:ind w:left="3722" w:hanging="842"/>
      </w:pPr>
      <w:rPr>
        <w:smallCaps w:val="false"/>
        <w:caps w:val="false"/>
        <w:outline w:val="false"/>
        <w:dstrike w:val="false"/>
        <w:strike w:val="false"/>
        <w:vertAlign w:val="baseline"/>
        <w:position w:val="0"/>
        <w:sz w:val="24"/>
        <w:sz w:val="24"/>
        <w:spacing w:val="0"/>
        <w:b/>
        <w:kern w:val="0"/>
        <w:bCs/>
        <w:w w:val="100"/>
        <w:emboss w:val="false"/>
        <w:imprint w:val="false"/>
      </w:rPr>
    </w:lvl>
  </w:abstractNum>
  <w:abstractNum w:abstractNumId="2">
    <w:lvl w:ilvl="0">
      <w:start w:val="1"/>
      <w:numFmt w:val="bullet"/>
      <w:lvlText w:val="•"/>
      <w:lvlJc w:val="left"/>
      <w:pPr>
        <w:ind w:left="720" w:hanging="500"/>
      </w:pPr>
      <w:rPr>
        <w:rFonts w:ascii="Helvetica Neue" w:hAnsi="Helvetica Neue" w:cs="Helvetica Neue" w:hint="default"/>
        <w:smallCaps w:val="false"/>
        <w:caps w:val="false"/>
        <w:outline w:val="false"/>
        <w:dstrike w:val="false"/>
        <w:strike w:val="false"/>
        <w:vertAlign w:val="baseline"/>
        <w:position w:val="0"/>
        <w:sz w:val="28"/>
        <w:sz w:val="28"/>
        <w:spacing w:val="0"/>
        <w:i w:val="false"/>
        <w:b w:val="false"/>
        <w:kern w:val="0"/>
        <w:iCs w:val="false"/>
        <w:bCs w:val="false"/>
        <w:w w:val="100"/>
        <w:emboss w:val="false"/>
        <w:imprint w:val="false"/>
        <w:rFonts w:cs="Helvetica Neue"/>
        <w:color w:val="1A1A1A"/>
      </w:rPr>
    </w:lvl>
    <w:lvl w:ilvl="1">
      <w:start w:val="1"/>
      <w:numFmt w:val="bullet"/>
      <w:lvlText w:val="•"/>
      <w:lvlJc w:val="left"/>
      <w:pPr>
        <w:ind w:left="940" w:hanging="500"/>
      </w:pPr>
      <w:rPr>
        <w:rFonts w:ascii="Helvetica Neue" w:hAnsi="Helvetica Neue" w:cs="Helvetica Neue" w:hint="default"/>
        <w:smallCaps w:val="false"/>
        <w:caps w:val="false"/>
        <w:outline w:val="false"/>
        <w:dstrike w:val="false"/>
        <w:strike w:val="false"/>
        <w:vertAlign w:val="baseline"/>
        <w:position w:val="0"/>
        <w:sz w:val="24"/>
        <w:sz w:val="24"/>
        <w:spacing w:val="0"/>
        <w:i w:val="false"/>
        <w:b w:val="false"/>
        <w:kern w:val="0"/>
        <w:iCs w:val="false"/>
        <w:bCs w:val="false"/>
        <w:w w:val="100"/>
        <w:emboss w:val="false"/>
        <w:imprint w:val="false"/>
        <w:rFonts w:cs="Helvetica Neue"/>
        <w:color w:val="1A1A1A"/>
      </w:rPr>
    </w:lvl>
    <w:lvl w:ilvl="2">
      <w:start w:val="1"/>
      <w:numFmt w:val="bullet"/>
      <w:lvlText w:val="•"/>
      <w:lvlJc w:val="left"/>
      <w:pPr>
        <w:ind w:left="1160" w:hanging="500"/>
      </w:pPr>
      <w:rPr>
        <w:rFonts w:ascii="Helvetica Neue" w:hAnsi="Helvetica Neue" w:cs="Helvetica Neue" w:hint="default"/>
        <w:smallCaps w:val="false"/>
        <w:caps w:val="false"/>
        <w:outline w:val="false"/>
        <w:dstrike w:val="false"/>
        <w:strike w:val="false"/>
        <w:vertAlign w:val="baseline"/>
        <w:position w:val="0"/>
        <w:sz w:val="24"/>
        <w:sz w:val="24"/>
        <w:spacing w:val="0"/>
        <w:i w:val="false"/>
        <w:b w:val="false"/>
        <w:kern w:val="0"/>
        <w:iCs w:val="false"/>
        <w:bCs w:val="false"/>
        <w:w w:val="100"/>
        <w:emboss w:val="false"/>
        <w:imprint w:val="false"/>
        <w:rFonts w:cs="Helvetica Neue"/>
        <w:color w:val="1A1A1A"/>
      </w:rPr>
    </w:lvl>
    <w:lvl w:ilvl="3">
      <w:start w:val="1"/>
      <w:numFmt w:val="bullet"/>
      <w:lvlText w:val="•"/>
      <w:lvlJc w:val="left"/>
      <w:pPr>
        <w:ind w:left="1380" w:hanging="500"/>
      </w:pPr>
      <w:rPr>
        <w:rFonts w:ascii="Helvetica Neue" w:hAnsi="Helvetica Neue" w:cs="Helvetica Neue" w:hint="default"/>
        <w:smallCaps w:val="false"/>
        <w:caps w:val="false"/>
        <w:outline w:val="false"/>
        <w:dstrike w:val="false"/>
        <w:strike w:val="false"/>
        <w:vertAlign w:val="baseline"/>
        <w:position w:val="0"/>
        <w:sz w:val="24"/>
        <w:sz w:val="24"/>
        <w:spacing w:val="0"/>
        <w:i w:val="false"/>
        <w:b w:val="false"/>
        <w:kern w:val="0"/>
        <w:iCs w:val="false"/>
        <w:bCs w:val="false"/>
        <w:w w:val="100"/>
        <w:emboss w:val="false"/>
        <w:imprint w:val="false"/>
        <w:rFonts w:cs="Helvetica Neue"/>
        <w:color w:val="1A1A1A"/>
      </w:rPr>
    </w:lvl>
    <w:lvl w:ilvl="4">
      <w:start w:val="1"/>
      <w:numFmt w:val="bullet"/>
      <w:lvlText w:val="•"/>
      <w:lvlJc w:val="left"/>
      <w:pPr>
        <w:ind w:left="1600" w:hanging="500"/>
      </w:pPr>
      <w:rPr>
        <w:rFonts w:ascii="Helvetica Neue" w:hAnsi="Helvetica Neue" w:cs="Helvetica Neue" w:hint="default"/>
        <w:smallCaps w:val="false"/>
        <w:caps w:val="false"/>
        <w:outline w:val="false"/>
        <w:dstrike w:val="false"/>
        <w:strike w:val="false"/>
        <w:vertAlign w:val="baseline"/>
        <w:position w:val="0"/>
        <w:sz w:val="24"/>
        <w:sz w:val="24"/>
        <w:spacing w:val="0"/>
        <w:i w:val="false"/>
        <w:b w:val="false"/>
        <w:kern w:val="0"/>
        <w:iCs w:val="false"/>
        <w:bCs w:val="false"/>
        <w:w w:val="100"/>
        <w:emboss w:val="false"/>
        <w:imprint w:val="false"/>
        <w:rFonts w:cs="Helvetica Neue"/>
        <w:color w:val="1A1A1A"/>
      </w:rPr>
    </w:lvl>
    <w:lvl w:ilvl="5">
      <w:start w:val="1"/>
      <w:numFmt w:val="bullet"/>
      <w:lvlText w:val="•"/>
      <w:lvlJc w:val="left"/>
      <w:pPr>
        <w:ind w:left="1820" w:hanging="500"/>
      </w:pPr>
      <w:rPr>
        <w:rFonts w:ascii="Helvetica Neue" w:hAnsi="Helvetica Neue" w:cs="Helvetica Neue" w:hint="default"/>
        <w:smallCaps w:val="false"/>
        <w:caps w:val="false"/>
        <w:outline w:val="false"/>
        <w:dstrike w:val="false"/>
        <w:strike w:val="false"/>
        <w:vertAlign w:val="baseline"/>
        <w:position w:val="0"/>
        <w:sz w:val="24"/>
        <w:sz w:val="24"/>
        <w:spacing w:val="0"/>
        <w:i w:val="false"/>
        <w:b w:val="false"/>
        <w:kern w:val="0"/>
        <w:iCs w:val="false"/>
        <w:bCs w:val="false"/>
        <w:w w:val="100"/>
        <w:emboss w:val="false"/>
        <w:imprint w:val="false"/>
        <w:rFonts w:cs="Helvetica Neue"/>
        <w:color w:val="1A1A1A"/>
      </w:rPr>
    </w:lvl>
    <w:lvl w:ilvl="6">
      <w:start w:val="1"/>
      <w:numFmt w:val="bullet"/>
      <w:lvlText w:val="•"/>
      <w:lvlJc w:val="left"/>
      <w:pPr>
        <w:ind w:left="2040" w:hanging="500"/>
      </w:pPr>
      <w:rPr>
        <w:rFonts w:ascii="Helvetica Neue" w:hAnsi="Helvetica Neue" w:cs="Helvetica Neue" w:hint="default"/>
        <w:smallCaps w:val="false"/>
        <w:caps w:val="false"/>
        <w:outline w:val="false"/>
        <w:dstrike w:val="false"/>
        <w:strike w:val="false"/>
        <w:vertAlign w:val="baseline"/>
        <w:position w:val="0"/>
        <w:sz w:val="24"/>
        <w:sz w:val="24"/>
        <w:spacing w:val="0"/>
        <w:i w:val="false"/>
        <w:b w:val="false"/>
        <w:kern w:val="0"/>
        <w:iCs w:val="false"/>
        <w:bCs w:val="false"/>
        <w:w w:val="100"/>
        <w:emboss w:val="false"/>
        <w:imprint w:val="false"/>
        <w:rFonts w:cs="Helvetica Neue"/>
        <w:color w:val="1A1A1A"/>
      </w:rPr>
    </w:lvl>
    <w:lvl w:ilvl="7">
      <w:start w:val="1"/>
      <w:numFmt w:val="bullet"/>
      <w:lvlText w:val="•"/>
      <w:lvlJc w:val="left"/>
      <w:pPr>
        <w:ind w:left="2260" w:hanging="500"/>
      </w:pPr>
      <w:rPr>
        <w:rFonts w:ascii="Helvetica Neue" w:hAnsi="Helvetica Neue" w:cs="Helvetica Neue" w:hint="default"/>
        <w:smallCaps w:val="false"/>
        <w:caps w:val="false"/>
        <w:outline w:val="false"/>
        <w:dstrike w:val="false"/>
        <w:strike w:val="false"/>
        <w:vertAlign w:val="baseline"/>
        <w:position w:val="0"/>
        <w:sz w:val="24"/>
        <w:sz w:val="24"/>
        <w:spacing w:val="0"/>
        <w:i w:val="false"/>
        <w:b w:val="false"/>
        <w:kern w:val="0"/>
        <w:iCs w:val="false"/>
        <w:bCs w:val="false"/>
        <w:w w:val="100"/>
        <w:emboss w:val="false"/>
        <w:imprint w:val="false"/>
        <w:rFonts w:cs="Helvetica Neue"/>
        <w:color w:val="1A1A1A"/>
      </w:rPr>
    </w:lvl>
    <w:lvl w:ilvl="8">
      <w:start w:val="1"/>
      <w:numFmt w:val="bullet"/>
      <w:lvlText w:val="•"/>
      <w:lvlJc w:val="left"/>
      <w:pPr>
        <w:ind w:left="2480" w:hanging="500"/>
      </w:pPr>
      <w:rPr>
        <w:rFonts w:ascii="Helvetica Neue" w:hAnsi="Helvetica Neue" w:cs="Helvetica Neue" w:hint="default"/>
        <w:smallCaps w:val="false"/>
        <w:caps w:val="false"/>
        <w:outline w:val="false"/>
        <w:dstrike w:val="false"/>
        <w:strike w:val="false"/>
        <w:vertAlign w:val="baseline"/>
        <w:position w:val="0"/>
        <w:sz w:val="24"/>
        <w:sz w:val="24"/>
        <w:spacing w:val="0"/>
        <w:i w:val="false"/>
        <w:b w:val="false"/>
        <w:kern w:val="0"/>
        <w:iCs w:val="false"/>
        <w:bCs w:val="false"/>
        <w:w w:val="100"/>
        <w:emboss w:val="false"/>
        <w:imprint w:val="false"/>
        <w:rFonts w:cs="Helvetica Neue"/>
        <w:color w:val="1A1A1A"/>
      </w:rPr>
    </w:lvl>
  </w:abstractNum>
  <w:abstractNum w:abstractNumId="3">
    <w:lvl w:ilvl="0">
      <w:start w:val="1"/>
      <w:numFmt w:val="bullet"/>
      <w:lvlText w:val=""/>
      <w:lvlJc w:val="left"/>
      <w:pPr>
        <w:ind w:left="720" w:hanging="360"/>
      </w:pPr>
      <w:rPr>
        <w:rFonts w:ascii="Symbol" w:hAnsi="Symbol" w:cs="Symbol" w:hint="default"/>
        <w:sz w:val="28"/>
        <w:b/>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4">
    <w:lvl w:ilvl="0">
      <w:start w:val="1"/>
      <w:numFmt w:val="bullet"/>
      <w:lvlText w:val=""/>
      <w:lvlJc w:val="left"/>
      <w:pPr>
        <w:ind w:left="720" w:hanging="360"/>
      </w:pPr>
      <w:rPr>
        <w:rFonts w:ascii="Symbol" w:hAnsi="Symbol" w:cs="Symbol" w:hint="default"/>
        <w:sz w:val="28"/>
        <w:b/>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5">
    <w:lvl w:ilvl="0">
      <w:start w:val="1"/>
      <w:numFmt w:val="bullet"/>
      <w:lvlText w:val=""/>
      <w:lvlJc w:val="left"/>
      <w:pPr>
        <w:ind w:left="720" w:hanging="360"/>
      </w:pPr>
      <w:rPr>
        <w:rFonts w:ascii="Symbol" w:hAnsi="Symbol" w:cs="Symbol" w:hint="default"/>
        <w:sz w:val="28"/>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6">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00"/>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Arial Unicode MS" w:cs="Times New Roman"/>
        <w:lang w:val="en-US" w:eastAsia="en-US" w:bidi="ar-SA"/>
      </w:rPr>
    </w:rPrDefault>
    <w:pPrDefaul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jc w:val="left"/>
    </w:pPr>
    <w:rPr>
      <w:rFonts w:ascii="Times New Roman" w:hAnsi="Times New Roman" w:eastAsia="Arial Unicode MS" w:cs="Times New Roman"/>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InternetLink">
    <w:name w:val="Internet Link"/>
    <w:rPr>
      <w:u w:val="single"/>
    </w:rPr>
  </w:style>
  <w:style w:type="character" w:styleId="None" w:customStyle="1">
    <w:name w:val="None"/>
    <w:qFormat/>
    <w:rPr/>
  </w:style>
  <w:style w:type="character" w:styleId="Hyperlink0" w:customStyle="1">
    <w:name w:val="Hyperlink.0"/>
    <w:basedOn w:val="None"/>
    <w:qFormat/>
    <w:rPr>
      <w:outline w:val="false"/>
      <w:color w:val="416ED2"/>
    </w:rPr>
  </w:style>
  <w:style w:type="character" w:styleId="Hyperlink1" w:customStyle="1">
    <w:name w:val="Hyperlink.1"/>
    <w:basedOn w:val="InternetLink"/>
    <w:qFormat/>
    <w:rPr>
      <w:u w:val="single"/>
    </w:rPr>
  </w:style>
  <w:style w:type="character" w:styleId="Hyperlink2" w:customStyle="1">
    <w:name w:val="Hyperlink.2"/>
    <w:basedOn w:val="None"/>
    <w:qFormat/>
    <w:rPr>
      <w:b/>
      <w:bCs/>
    </w:rPr>
  </w:style>
  <w:style w:type="character" w:styleId="BalloonTextChar" w:customStyle="1">
    <w:name w:val="Balloon Text Char"/>
    <w:basedOn w:val="DefaultParagraphFont"/>
    <w:link w:val="BalloonText"/>
    <w:uiPriority w:val="99"/>
    <w:semiHidden/>
    <w:qFormat/>
    <w:rsid w:val="00af16d1"/>
    <w:rPr>
      <w:rFonts w:ascii="Segoe UI" w:hAnsi="Segoe UI" w:cs="Segoe UI"/>
      <w:sz w:val="18"/>
      <w:szCs w:val="18"/>
    </w:rPr>
  </w:style>
  <w:style w:type="character" w:styleId="ListLabel1">
    <w:name w:val="ListLabel 1"/>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2">
    <w:name w:val="ListLabel 2"/>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3">
    <w:name w:val="ListLabel 3"/>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4">
    <w:name w:val="ListLabel 4"/>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5">
    <w:name w:val="ListLabel 5"/>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6">
    <w:name w:val="ListLabel 6"/>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7">
    <w:name w:val="ListLabel 7"/>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8">
    <w:name w:val="ListLabel 8"/>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9">
    <w:name w:val="ListLabel 9"/>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0">
    <w:name w:val="ListLabel 10"/>
    <w:qFormat/>
    <w:rPr>
      <w:rFonts w:ascii="Cambria" w:hAnsi="Cambria"/>
      <w:b/>
      <w:bCs/>
      <w:caps w:val="false"/>
      <w:smallCaps w:val="false"/>
      <w:strike w:val="false"/>
      <w:dstrike w:val="false"/>
      <w:outline w:val="false"/>
      <w:emboss w:val="false"/>
      <w:imprint w:val="false"/>
      <w:spacing w:val="0"/>
      <w:w w:val="100"/>
      <w:kern w:val="0"/>
      <w:position w:val="0"/>
      <w:sz w:val="28"/>
      <w:sz w:val="28"/>
      <w:vertAlign w:val="baseline"/>
    </w:rPr>
  </w:style>
  <w:style w:type="character" w:styleId="ListLabel11">
    <w:name w:val="ListLabel 11"/>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2">
    <w:name w:val="ListLabel 12"/>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3">
    <w:name w:val="ListLabel 13"/>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4">
    <w:name w:val="ListLabel 14"/>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5">
    <w:name w:val="ListLabel 15"/>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6">
    <w:name w:val="ListLabel 16"/>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7">
    <w:name w:val="ListLabel 17"/>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8">
    <w:name w:val="ListLabel 18"/>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9">
    <w:name w:val="ListLabel 19"/>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0">
    <w:name w:val="ListLabel 20"/>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1">
    <w:name w:val="ListLabel 21"/>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2">
    <w:name w:val="ListLabel 22"/>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3">
    <w:name w:val="ListLabel 23"/>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4">
    <w:name w:val="ListLabel 24"/>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5">
    <w:name w:val="ListLabel 25"/>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6">
    <w:name w:val="ListLabel 26"/>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7">
    <w:name w:val="ListLabel 27"/>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8">
    <w:name w:val="ListLabel 28"/>
    <w:qFormat/>
    <w:rPr>
      <w:rFonts w:ascii="Cambria" w:hAnsi="Cambria"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8"/>
      <w:sz w:val="28"/>
      <w:vertAlign w:val="baseline"/>
    </w:rPr>
  </w:style>
  <w:style w:type="character" w:styleId="ListLabel29">
    <w:name w:val="ListLabel 29"/>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30">
    <w:name w:val="ListLabel 30"/>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31">
    <w:name w:val="ListLabel 31"/>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32">
    <w:name w:val="ListLabel 32"/>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33">
    <w:name w:val="ListLabel 33"/>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34">
    <w:name w:val="ListLabel 34"/>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35">
    <w:name w:val="ListLabel 35"/>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36">
    <w:name w:val="ListLabel 36"/>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37">
    <w:name w:val="ListLabel 37"/>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38">
    <w:name w:val="ListLabel 38"/>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39">
    <w:name w:val="ListLabel 39"/>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40">
    <w:name w:val="ListLabel 40"/>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41">
    <w:name w:val="ListLabel 41"/>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42">
    <w:name w:val="ListLabel 42"/>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43">
    <w:name w:val="ListLabel 43"/>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44">
    <w:name w:val="ListLabel 44"/>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45">
    <w:name w:val="ListLabel 45"/>
    <w:qFormat/>
    <w:rPr>
      <w:rFonts w:eastAsia="Helvetica Neue"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46">
    <w:name w:val="ListLabel 46"/>
    <w:qFormat/>
    <w:rPr>
      <w:rFonts w:cs="Courier New"/>
    </w:rPr>
  </w:style>
  <w:style w:type="character" w:styleId="ListLabel47">
    <w:name w:val="ListLabel 47"/>
    <w:qFormat/>
    <w:rPr>
      <w:rFonts w:cs="Courier New"/>
    </w:rPr>
  </w:style>
  <w:style w:type="character" w:styleId="ListLabel48">
    <w:name w:val="ListLabel 48"/>
    <w:qFormat/>
    <w:rPr>
      <w:rFonts w:cs="Courier New"/>
    </w:rPr>
  </w:style>
  <w:style w:type="character" w:styleId="ListLabel49">
    <w:name w:val="ListLabel 49"/>
    <w:qFormat/>
    <w:rPr>
      <w:rFonts w:cs="Courier New"/>
    </w:rPr>
  </w:style>
  <w:style w:type="character" w:styleId="ListLabel50">
    <w:name w:val="ListLabel 50"/>
    <w:qFormat/>
    <w:rPr>
      <w:rFonts w:cs="Courier New"/>
    </w:rPr>
  </w:style>
  <w:style w:type="character" w:styleId="ListLabel51">
    <w:name w:val="ListLabel 51"/>
    <w:qFormat/>
    <w:rPr>
      <w:rFonts w:cs="Courier New"/>
    </w:rPr>
  </w:style>
  <w:style w:type="character" w:styleId="ListLabel52">
    <w:name w:val="ListLabel 52"/>
    <w:qFormat/>
    <w:rPr>
      <w:rFonts w:cs="Courier New"/>
    </w:rPr>
  </w:style>
  <w:style w:type="character" w:styleId="ListLabel53">
    <w:name w:val="ListLabel 53"/>
    <w:qFormat/>
    <w:rPr>
      <w:rFonts w:cs="Courier New"/>
    </w:rPr>
  </w:style>
  <w:style w:type="character" w:styleId="ListLabel54">
    <w:name w:val="ListLabel 54"/>
    <w:qFormat/>
    <w:rPr>
      <w:rFonts w:cs="Courier New"/>
    </w:rPr>
  </w:style>
  <w:style w:type="character" w:styleId="ListLabel55">
    <w:name w:val="ListLabel 55"/>
    <w:qFormat/>
    <w:rPr>
      <w:rFonts w:ascii="Cambria" w:hAnsi="Cambria"/>
      <w:sz w:val="28"/>
      <w:szCs w:val="28"/>
      <w:shd w:fill="FFFFFF" w:val="clear"/>
    </w:rPr>
  </w:style>
  <w:style w:type="character" w:styleId="ListLabel56">
    <w:name w:val="ListLabel 56"/>
    <w:qFormat/>
    <w:rPr>
      <w:rFonts w:ascii="Cambria" w:hAnsi="Cambria"/>
      <w:color w:val="416ED2"/>
      <w:sz w:val="28"/>
      <w:szCs w:val="28"/>
      <w:shd w:fill="FFFFFF" w:val="clear"/>
    </w:rPr>
  </w:style>
  <w:style w:type="character" w:styleId="ListLabel57">
    <w:name w:val="ListLabel 57"/>
    <w:qFormat/>
    <w:rPr>
      <w:rFonts w:ascii="Cambria" w:hAnsi="Cambria"/>
      <w:color w:val="0070C0"/>
      <w:sz w:val="28"/>
      <w:szCs w:val="28"/>
      <w:shd w:fill="FFFFFF" w:val="clear"/>
    </w:rPr>
  </w:style>
  <w:style w:type="character" w:styleId="ListLabel58">
    <w:name w:val="ListLabel 58"/>
    <w:qFormat/>
    <w:rPr>
      <w:rFonts w:ascii="Cambria" w:hAnsi="Cambria"/>
      <w:color w:val="416ED2"/>
      <w:sz w:val="28"/>
      <w:szCs w:val="28"/>
      <w:shd w:fill="FFFFFF" w:val="clear"/>
    </w:rPr>
  </w:style>
  <w:style w:type="character" w:styleId="ListLabel59">
    <w:name w:val="ListLabel 59"/>
    <w:qFormat/>
    <w:rPr>
      <w:rFonts w:ascii="Cambria" w:hAnsi="Cambria"/>
      <w:color w:val="416ED2"/>
      <w:sz w:val="28"/>
      <w:szCs w:val="28"/>
      <w:shd w:fill="FFFFFF" w:val="clear"/>
    </w:rPr>
  </w:style>
  <w:style w:type="character" w:styleId="ListLabel60">
    <w:name w:val="ListLabel 60"/>
    <w:qFormat/>
    <w:rPr>
      <w:rFonts w:ascii="Cambria" w:hAnsi="Cambria"/>
      <w:b/>
      <w:bCs/>
      <w:caps w:val="false"/>
      <w:smallCaps w:val="false"/>
      <w:strike w:val="false"/>
      <w:dstrike w:val="false"/>
      <w:outline w:val="false"/>
      <w:emboss w:val="false"/>
      <w:imprint w:val="false"/>
      <w:spacing w:val="0"/>
      <w:w w:val="100"/>
      <w:kern w:val="0"/>
      <w:position w:val="0"/>
      <w:sz w:val="28"/>
      <w:sz w:val="28"/>
      <w:vertAlign w:val="baseline"/>
    </w:rPr>
  </w:style>
  <w:style w:type="character" w:styleId="ListLabel61">
    <w:name w:val="ListLabel 61"/>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62">
    <w:name w:val="ListLabel 62"/>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63">
    <w:name w:val="ListLabel 63"/>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64">
    <w:name w:val="ListLabel 64"/>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65">
    <w:name w:val="ListLabel 65"/>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66">
    <w:name w:val="ListLabel 66"/>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67">
    <w:name w:val="ListLabel 67"/>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68">
    <w:name w:val="ListLabel 68"/>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69">
    <w:name w:val="ListLabel 69"/>
    <w:qFormat/>
    <w:rPr>
      <w:rFonts w:ascii="Cambria" w:hAnsi="Cambria"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8"/>
      <w:sz w:val="28"/>
      <w:vertAlign w:val="baseline"/>
    </w:rPr>
  </w:style>
  <w:style w:type="character" w:styleId="ListLabel70">
    <w:name w:val="ListLabel 70"/>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71">
    <w:name w:val="ListLabel 71"/>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72">
    <w:name w:val="ListLabel 72"/>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73">
    <w:name w:val="ListLabel 73"/>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74">
    <w:name w:val="ListLabel 74"/>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75">
    <w:name w:val="ListLabel 75"/>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76">
    <w:name w:val="ListLabel 76"/>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77">
    <w:name w:val="ListLabel 77"/>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78">
    <w:name w:val="ListLabel 78"/>
    <w:qFormat/>
    <w:rPr>
      <w:rFonts w:ascii="Cambria" w:hAnsi="Cambria" w:cs="Symbol"/>
      <w:b/>
      <w:sz w:val="28"/>
    </w:rPr>
  </w:style>
  <w:style w:type="character" w:styleId="ListLabel79">
    <w:name w:val="ListLabel 79"/>
    <w:qFormat/>
    <w:rPr>
      <w:rFonts w:cs="Courier New"/>
    </w:rPr>
  </w:style>
  <w:style w:type="character" w:styleId="ListLabel80">
    <w:name w:val="ListLabel 80"/>
    <w:qFormat/>
    <w:rPr>
      <w:rFonts w:cs="Wingdings"/>
    </w:rPr>
  </w:style>
  <w:style w:type="character" w:styleId="ListLabel81">
    <w:name w:val="ListLabel 81"/>
    <w:qFormat/>
    <w:rPr>
      <w:rFonts w:cs="Symbol"/>
    </w:rPr>
  </w:style>
  <w:style w:type="character" w:styleId="ListLabel82">
    <w:name w:val="ListLabel 82"/>
    <w:qFormat/>
    <w:rPr>
      <w:rFonts w:cs="Courier New"/>
    </w:rPr>
  </w:style>
  <w:style w:type="character" w:styleId="ListLabel83">
    <w:name w:val="ListLabel 83"/>
    <w:qFormat/>
    <w:rPr>
      <w:rFonts w:cs="Wingdings"/>
    </w:rPr>
  </w:style>
  <w:style w:type="character" w:styleId="ListLabel84">
    <w:name w:val="ListLabel 84"/>
    <w:qFormat/>
    <w:rPr>
      <w:rFonts w:cs="Symbol"/>
    </w:rPr>
  </w:style>
  <w:style w:type="character" w:styleId="ListLabel85">
    <w:name w:val="ListLabel 85"/>
    <w:qFormat/>
    <w:rPr>
      <w:rFonts w:cs="Courier New"/>
    </w:rPr>
  </w:style>
  <w:style w:type="character" w:styleId="ListLabel86">
    <w:name w:val="ListLabel 86"/>
    <w:qFormat/>
    <w:rPr>
      <w:rFonts w:cs="Wingdings"/>
    </w:rPr>
  </w:style>
  <w:style w:type="character" w:styleId="ListLabel87">
    <w:name w:val="ListLabel 87"/>
    <w:qFormat/>
    <w:rPr>
      <w:rFonts w:ascii="Cambria" w:hAnsi="Cambria" w:cs="Symbol"/>
      <w:b/>
      <w:sz w:val="28"/>
    </w:rPr>
  </w:style>
  <w:style w:type="character" w:styleId="ListLabel88">
    <w:name w:val="ListLabel 88"/>
    <w:qFormat/>
    <w:rPr>
      <w:rFonts w:cs="Courier New"/>
    </w:rPr>
  </w:style>
  <w:style w:type="character" w:styleId="ListLabel89">
    <w:name w:val="ListLabel 89"/>
    <w:qFormat/>
    <w:rPr>
      <w:rFonts w:cs="Wingdings"/>
    </w:rPr>
  </w:style>
  <w:style w:type="character" w:styleId="ListLabel90">
    <w:name w:val="ListLabel 90"/>
    <w:qFormat/>
    <w:rPr>
      <w:rFonts w:cs="Symbol"/>
    </w:rPr>
  </w:style>
  <w:style w:type="character" w:styleId="ListLabel91">
    <w:name w:val="ListLabel 91"/>
    <w:qFormat/>
    <w:rPr>
      <w:rFonts w:cs="Courier New"/>
    </w:rPr>
  </w:style>
  <w:style w:type="character" w:styleId="ListLabel92">
    <w:name w:val="ListLabel 92"/>
    <w:qFormat/>
    <w:rPr>
      <w:rFonts w:cs="Wingdings"/>
    </w:rPr>
  </w:style>
  <w:style w:type="character" w:styleId="ListLabel93">
    <w:name w:val="ListLabel 93"/>
    <w:qFormat/>
    <w:rPr>
      <w:rFonts w:cs="Symbol"/>
    </w:rPr>
  </w:style>
  <w:style w:type="character" w:styleId="ListLabel94">
    <w:name w:val="ListLabel 94"/>
    <w:qFormat/>
    <w:rPr>
      <w:rFonts w:cs="Courier New"/>
    </w:rPr>
  </w:style>
  <w:style w:type="character" w:styleId="ListLabel95">
    <w:name w:val="ListLabel 95"/>
    <w:qFormat/>
    <w:rPr>
      <w:rFonts w:cs="Wingdings"/>
    </w:rPr>
  </w:style>
  <w:style w:type="character" w:styleId="ListLabel96">
    <w:name w:val="ListLabel 96"/>
    <w:qFormat/>
    <w:rPr>
      <w:rFonts w:ascii="Cambria" w:hAnsi="Cambria" w:cs="Symbol"/>
      <w:sz w:val="28"/>
    </w:rPr>
  </w:style>
  <w:style w:type="character" w:styleId="ListLabel97">
    <w:name w:val="ListLabel 97"/>
    <w:qFormat/>
    <w:rPr>
      <w:rFonts w:cs="Courier New"/>
    </w:rPr>
  </w:style>
  <w:style w:type="character" w:styleId="ListLabel98">
    <w:name w:val="ListLabel 98"/>
    <w:qFormat/>
    <w:rPr>
      <w:rFonts w:cs="Wingdings"/>
    </w:rPr>
  </w:style>
  <w:style w:type="character" w:styleId="ListLabel99">
    <w:name w:val="ListLabel 99"/>
    <w:qFormat/>
    <w:rPr>
      <w:rFonts w:cs="Symbol"/>
    </w:rPr>
  </w:style>
  <w:style w:type="character" w:styleId="ListLabel100">
    <w:name w:val="ListLabel 100"/>
    <w:qFormat/>
    <w:rPr>
      <w:rFonts w:cs="Courier New"/>
    </w:rPr>
  </w:style>
  <w:style w:type="character" w:styleId="ListLabel101">
    <w:name w:val="ListLabel 101"/>
    <w:qFormat/>
    <w:rPr>
      <w:rFonts w:cs="Wingdings"/>
    </w:rPr>
  </w:style>
  <w:style w:type="character" w:styleId="ListLabel102">
    <w:name w:val="ListLabel 102"/>
    <w:qFormat/>
    <w:rPr>
      <w:rFonts w:cs="Symbol"/>
    </w:rPr>
  </w:style>
  <w:style w:type="character" w:styleId="ListLabel103">
    <w:name w:val="ListLabel 103"/>
    <w:qFormat/>
    <w:rPr>
      <w:rFonts w:cs="Courier New"/>
    </w:rPr>
  </w:style>
  <w:style w:type="character" w:styleId="ListLabel104">
    <w:name w:val="ListLabel 104"/>
    <w:qFormat/>
    <w:rPr>
      <w:rFonts w:cs="Wingdings"/>
    </w:rPr>
  </w:style>
  <w:style w:type="character" w:styleId="ListLabel105">
    <w:name w:val="ListLabel 105"/>
    <w:qFormat/>
    <w:rPr>
      <w:rFonts w:ascii="Cambria" w:hAnsi="Cambria"/>
      <w:sz w:val="28"/>
      <w:szCs w:val="28"/>
      <w:highlight w:val="white"/>
    </w:rPr>
  </w:style>
  <w:style w:type="character" w:styleId="ListLabel106">
    <w:name w:val="ListLabel 106"/>
    <w:qFormat/>
    <w:rPr>
      <w:rFonts w:ascii="Cambria" w:hAnsi="Cambria"/>
      <w:color w:val="416ED2"/>
      <w:sz w:val="28"/>
      <w:szCs w:val="28"/>
      <w:shd w:fill="FFFFFF" w:val="clear"/>
    </w:rPr>
  </w:style>
  <w:style w:type="character" w:styleId="ListLabel107">
    <w:name w:val="ListLabel 107"/>
    <w:qFormat/>
    <w:rPr>
      <w:rFonts w:ascii="Cambria" w:hAnsi="Cambria"/>
      <w:color w:val="0070C0"/>
      <w:sz w:val="28"/>
      <w:szCs w:val="28"/>
      <w:highlight w:val="white"/>
    </w:rPr>
  </w:style>
  <w:style w:type="character" w:styleId="ListLabel108">
    <w:name w:val="ListLabel 108"/>
    <w:qFormat/>
    <w:rPr>
      <w:rFonts w:ascii="Cambria" w:hAnsi="Cambria"/>
      <w:color w:val="416ED2"/>
      <w:sz w:val="28"/>
      <w:szCs w:val="28"/>
      <w:shd w:fill="FFFFFF" w:val="clear"/>
    </w:rPr>
  </w:style>
  <w:style w:type="character" w:styleId="ListLabel109">
    <w:name w:val="ListLabel 109"/>
    <w:qFormat/>
    <w:rPr>
      <w:rFonts w:ascii="Cambria" w:hAnsi="Cambria"/>
      <w:color w:val="416ED2"/>
      <w:sz w:val="28"/>
      <w:szCs w:val="28"/>
      <w:shd w:fill="FFFFFF" w:val="clear"/>
    </w:rPr>
  </w:style>
  <w:style w:type="character" w:styleId="ListLabel110">
    <w:name w:val="ListLabel 110"/>
    <w:qFormat/>
    <w:rPr>
      <w:rFonts w:ascii="Cambria" w:hAnsi="Cambria"/>
      <w:b/>
      <w:bCs/>
      <w:caps w:val="false"/>
      <w:smallCaps w:val="false"/>
      <w:strike w:val="false"/>
      <w:dstrike w:val="false"/>
      <w:outline w:val="false"/>
      <w:emboss w:val="false"/>
      <w:imprint w:val="false"/>
      <w:spacing w:val="0"/>
      <w:w w:val="100"/>
      <w:kern w:val="0"/>
      <w:position w:val="0"/>
      <w:sz w:val="28"/>
      <w:sz w:val="28"/>
      <w:vertAlign w:val="baseline"/>
    </w:rPr>
  </w:style>
  <w:style w:type="character" w:styleId="ListLabel111">
    <w:name w:val="ListLabel 111"/>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12">
    <w:name w:val="ListLabel 112"/>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13">
    <w:name w:val="ListLabel 113"/>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14">
    <w:name w:val="ListLabel 114"/>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15">
    <w:name w:val="ListLabel 115"/>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16">
    <w:name w:val="ListLabel 116"/>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17">
    <w:name w:val="ListLabel 117"/>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18">
    <w:name w:val="ListLabel 118"/>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19">
    <w:name w:val="ListLabel 119"/>
    <w:qFormat/>
    <w:rPr>
      <w:rFonts w:ascii="Cambria" w:hAnsi="Cambria"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8"/>
      <w:sz w:val="28"/>
      <w:vertAlign w:val="baseline"/>
    </w:rPr>
  </w:style>
  <w:style w:type="character" w:styleId="ListLabel120">
    <w:name w:val="ListLabel 120"/>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21">
    <w:name w:val="ListLabel 121"/>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22">
    <w:name w:val="ListLabel 122"/>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23">
    <w:name w:val="ListLabel 123"/>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24">
    <w:name w:val="ListLabel 124"/>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25">
    <w:name w:val="ListLabel 125"/>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26">
    <w:name w:val="ListLabel 126"/>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27">
    <w:name w:val="ListLabel 127"/>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28">
    <w:name w:val="ListLabel 128"/>
    <w:qFormat/>
    <w:rPr>
      <w:rFonts w:ascii="Cambria" w:hAnsi="Cambria" w:cs="Symbol"/>
      <w:b/>
      <w:sz w:val="28"/>
    </w:rPr>
  </w:style>
  <w:style w:type="character" w:styleId="ListLabel129">
    <w:name w:val="ListLabel 129"/>
    <w:qFormat/>
    <w:rPr>
      <w:rFonts w:cs="Courier New"/>
    </w:rPr>
  </w:style>
  <w:style w:type="character" w:styleId="ListLabel130">
    <w:name w:val="ListLabel 130"/>
    <w:qFormat/>
    <w:rPr>
      <w:rFonts w:cs="Wingdings"/>
    </w:rPr>
  </w:style>
  <w:style w:type="character" w:styleId="ListLabel131">
    <w:name w:val="ListLabel 131"/>
    <w:qFormat/>
    <w:rPr>
      <w:rFonts w:cs="Symbol"/>
    </w:rPr>
  </w:style>
  <w:style w:type="character" w:styleId="ListLabel132">
    <w:name w:val="ListLabel 132"/>
    <w:qFormat/>
    <w:rPr>
      <w:rFonts w:cs="Courier New"/>
    </w:rPr>
  </w:style>
  <w:style w:type="character" w:styleId="ListLabel133">
    <w:name w:val="ListLabel 133"/>
    <w:qFormat/>
    <w:rPr>
      <w:rFonts w:cs="Wingdings"/>
    </w:rPr>
  </w:style>
  <w:style w:type="character" w:styleId="ListLabel134">
    <w:name w:val="ListLabel 134"/>
    <w:qFormat/>
    <w:rPr>
      <w:rFonts w:cs="Symbol"/>
    </w:rPr>
  </w:style>
  <w:style w:type="character" w:styleId="ListLabel135">
    <w:name w:val="ListLabel 135"/>
    <w:qFormat/>
    <w:rPr>
      <w:rFonts w:cs="Courier New"/>
    </w:rPr>
  </w:style>
  <w:style w:type="character" w:styleId="ListLabel136">
    <w:name w:val="ListLabel 136"/>
    <w:qFormat/>
    <w:rPr>
      <w:rFonts w:cs="Wingdings"/>
    </w:rPr>
  </w:style>
  <w:style w:type="character" w:styleId="ListLabel137">
    <w:name w:val="ListLabel 137"/>
    <w:qFormat/>
    <w:rPr>
      <w:rFonts w:ascii="Cambria" w:hAnsi="Cambria" w:cs="Symbol"/>
      <w:b/>
      <w:sz w:val="28"/>
    </w:rPr>
  </w:style>
  <w:style w:type="character" w:styleId="ListLabel138">
    <w:name w:val="ListLabel 138"/>
    <w:qFormat/>
    <w:rPr>
      <w:rFonts w:cs="Courier New"/>
    </w:rPr>
  </w:style>
  <w:style w:type="character" w:styleId="ListLabel139">
    <w:name w:val="ListLabel 139"/>
    <w:qFormat/>
    <w:rPr>
      <w:rFonts w:cs="Wingdings"/>
    </w:rPr>
  </w:style>
  <w:style w:type="character" w:styleId="ListLabel140">
    <w:name w:val="ListLabel 140"/>
    <w:qFormat/>
    <w:rPr>
      <w:rFonts w:cs="Symbol"/>
    </w:rPr>
  </w:style>
  <w:style w:type="character" w:styleId="ListLabel141">
    <w:name w:val="ListLabel 141"/>
    <w:qFormat/>
    <w:rPr>
      <w:rFonts w:cs="Courier New"/>
    </w:rPr>
  </w:style>
  <w:style w:type="character" w:styleId="ListLabel142">
    <w:name w:val="ListLabel 142"/>
    <w:qFormat/>
    <w:rPr>
      <w:rFonts w:cs="Wingdings"/>
    </w:rPr>
  </w:style>
  <w:style w:type="character" w:styleId="ListLabel143">
    <w:name w:val="ListLabel 143"/>
    <w:qFormat/>
    <w:rPr>
      <w:rFonts w:cs="Symbol"/>
    </w:rPr>
  </w:style>
  <w:style w:type="character" w:styleId="ListLabel144">
    <w:name w:val="ListLabel 144"/>
    <w:qFormat/>
    <w:rPr>
      <w:rFonts w:cs="Courier New"/>
    </w:rPr>
  </w:style>
  <w:style w:type="character" w:styleId="ListLabel145">
    <w:name w:val="ListLabel 145"/>
    <w:qFormat/>
    <w:rPr>
      <w:rFonts w:cs="Wingdings"/>
    </w:rPr>
  </w:style>
  <w:style w:type="character" w:styleId="ListLabel146">
    <w:name w:val="ListLabel 146"/>
    <w:qFormat/>
    <w:rPr>
      <w:rFonts w:ascii="Cambria" w:hAnsi="Cambria" w:cs="Symbol"/>
      <w:sz w:val="28"/>
    </w:rPr>
  </w:style>
  <w:style w:type="character" w:styleId="ListLabel147">
    <w:name w:val="ListLabel 147"/>
    <w:qFormat/>
    <w:rPr>
      <w:rFonts w:cs="Courier New"/>
    </w:rPr>
  </w:style>
  <w:style w:type="character" w:styleId="ListLabel148">
    <w:name w:val="ListLabel 148"/>
    <w:qFormat/>
    <w:rPr>
      <w:rFonts w:cs="Wingdings"/>
    </w:rPr>
  </w:style>
  <w:style w:type="character" w:styleId="ListLabel149">
    <w:name w:val="ListLabel 149"/>
    <w:qFormat/>
    <w:rPr>
      <w:rFonts w:cs="Symbol"/>
    </w:rPr>
  </w:style>
  <w:style w:type="character" w:styleId="ListLabel150">
    <w:name w:val="ListLabel 150"/>
    <w:qFormat/>
    <w:rPr>
      <w:rFonts w:cs="Courier New"/>
    </w:rPr>
  </w:style>
  <w:style w:type="character" w:styleId="ListLabel151">
    <w:name w:val="ListLabel 151"/>
    <w:qFormat/>
    <w:rPr>
      <w:rFonts w:cs="Wingdings"/>
    </w:rPr>
  </w:style>
  <w:style w:type="character" w:styleId="ListLabel152">
    <w:name w:val="ListLabel 152"/>
    <w:qFormat/>
    <w:rPr>
      <w:rFonts w:cs="Symbol"/>
    </w:rPr>
  </w:style>
  <w:style w:type="character" w:styleId="ListLabel153">
    <w:name w:val="ListLabel 153"/>
    <w:qFormat/>
    <w:rPr>
      <w:rFonts w:cs="Courier New"/>
    </w:rPr>
  </w:style>
  <w:style w:type="character" w:styleId="ListLabel154">
    <w:name w:val="ListLabel 154"/>
    <w:qFormat/>
    <w:rPr>
      <w:rFonts w:cs="Wingdings"/>
    </w:rPr>
  </w:style>
  <w:style w:type="character" w:styleId="ListLabel155">
    <w:name w:val="ListLabel 155"/>
    <w:qFormat/>
    <w:rPr>
      <w:rFonts w:ascii="Cambria" w:hAnsi="Cambria"/>
      <w:sz w:val="28"/>
      <w:szCs w:val="28"/>
      <w:highlight w:val="white"/>
    </w:rPr>
  </w:style>
  <w:style w:type="character" w:styleId="ListLabel156">
    <w:name w:val="ListLabel 156"/>
    <w:qFormat/>
    <w:rPr>
      <w:rFonts w:ascii="Cambria" w:hAnsi="Cambria"/>
      <w:color w:val="416ED2"/>
      <w:sz w:val="28"/>
      <w:szCs w:val="28"/>
      <w:shd w:fill="FFFFFF" w:val="clear"/>
    </w:rPr>
  </w:style>
  <w:style w:type="character" w:styleId="ListLabel157">
    <w:name w:val="ListLabel 157"/>
    <w:qFormat/>
    <w:rPr>
      <w:rFonts w:ascii="Cambria" w:hAnsi="Cambria"/>
      <w:color w:val="0070C0"/>
      <w:sz w:val="28"/>
      <w:szCs w:val="28"/>
      <w:highlight w:val="white"/>
    </w:rPr>
  </w:style>
  <w:style w:type="character" w:styleId="ListLabel158">
    <w:name w:val="ListLabel 158"/>
    <w:qFormat/>
    <w:rPr>
      <w:rFonts w:ascii="Cambria" w:hAnsi="Cambria"/>
      <w:color w:val="416ED2"/>
      <w:sz w:val="28"/>
      <w:szCs w:val="28"/>
      <w:shd w:fill="FFFFFF" w:val="clear"/>
    </w:rPr>
  </w:style>
  <w:style w:type="character" w:styleId="ListLabel159">
    <w:name w:val="ListLabel 159"/>
    <w:qFormat/>
    <w:rPr>
      <w:rFonts w:ascii="Cambria" w:hAnsi="Cambria"/>
      <w:color w:val="416ED2"/>
      <w:sz w:val="28"/>
      <w:szCs w:val="28"/>
      <w:shd w:fill="FFFFFF" w:val="clear"/>
    </w:rPr>
  </w:style>
  <w:style w:type="character" w:styleId="ListLabel160">
    <w:name w:val="ListLabel 160"/>
    <w:qFormat/>
    <w:rPr>
      <w:rFonts w:ascii="Cambria" w:hAnsi="Cambria"/>
      <w:b/>
      <w:bCs/>
      <w:caps w:val="false"/>
      <w:smallCaps w:val="false"/>
      <w:strike w:val="false"/>
      <w:dstrike w:val="false"/>
      <w:outline w:val="false"/>
      <w:emboss w:val="false"/>
      <w:imprint w:val="false"/>
      <w:spacing w:val="0"/>
      <w:w w:val="100"/>
      <w:kern w:val="0"/>
      <w:position w:val="0"/>
      <w:sz w:val="28"/>
      <w:sz w:val="28"/>
      <w:vertAlign w:val="baseline"/>
    </w:rPr>
  </w:style>
  <w:style w:type="character" w:styleId="ListLabel161">
    <w:name w:val="ListLabel 161"/>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62">
    <w:name w:val="ListLabel 162"/>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63">
    <w:name w:val="ListLabel 163"/>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64">
    <w:name w:val="ListLabel 164"/>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65">
    <w:name w:val="ListLabel 165"/>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66">
    <w:name w:val="ListLabel 166"/>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67">
    <w:name w:val="ListLabel 167"/>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68">
    <w:name w:val="ListLabel 168"/>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169">
    <w:name w:val="ListLabel 169"/>
    <w:qFormat/>
    <w:rPr>
      <w:rFonts w:ascii="Cambria" w:hAnsi="Cambria"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8"/>
      <w:sz w:val="28"/>
      <w:vertAlign w:val="baseline"/>
    </w:rPr>
  </w:style>
  <w:style w:type="character" w:styleId="ListLabel170">
    <w:name w:val="ListLabel 170"/>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71">
    <w:name w:val="ListLabel 171"/>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72">
    <w:name w:val="ListLabel 172"/>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73">
    <w:name w:val="ListLabel 173"/>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74">
    <w:name w:val="ListLabel 174"/>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75">
    <w:name w:val="ListLabel 175"/>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76">
    <w:name w:val="ListLabel 176"/>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77">
    <w:name w:val="ListLabel 177"/>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178">
    <w:name w:val="ListLabel 178"/>
    <w:qFormat/>
    <w:rPr>
      <w:rFonts w:ascii="Cambria" w:hAnsi="Cambria" w:cs="Symbol"/>
      <w:b/>
      <w:sz w:val="28"/>
    </w:rPr>
  </w:style>
  <w:style w:type="character" w:styleId="ListLabel179">
    <w:name w:val="ListLabel 179"/>
    <w:qFormat/>
    <w:rPr>
      <w:rFonts w:cs="Courier New"/>
    </w:rPr>
  </w:style>
  <w:style w:type="character" w:styleId="ListLabel180">
    <w:name w:val="ListLabel 180"/>
    <w:qFormat/>
    <w:rPr>
      <w:rFonts w:cs="Wingdings"/>
    </w:rPr>
  </w:style>
  <w:style w:type="character" w:styleId="ListLabel181">
    <w:name w:val="ListLabel 181"/>
    <w:qFormat/>
    <w:rPr>
      <w:rFonts w:cs="Symbol"/>
    </w:rPr>
  </w:style>
  <w:style w:type="character" w:styleId="ListLabel182">
    <w:name w:val="ListLabel 182"/>
    <w:qFormat/>
    <w:rPr>
      <w:rFonts w:cs="Courier New"/>
    </w:rPr>
  </w:style>
  <w:style w:type="character" w:styleId="ListLabel183">
    <w:name w:val="ListLabel 183"/>
    <w:qFormat/>
    <w:rPr>
      <w:rFonts w:cs="Wingdings"/>
    </w:rPr>
  </w:style>
  <w:style w:type="character" w:styleId="ListLabel184">
    <w:name w:val="ListLabel 184"/>
    <w:qFormat/>
    <w:rPr>
      <w:rFonts w:cs="Symbol"/>
    </w:rPr>
  </w:style>
  <w:style w:type="character" w:styleId="ListLabel185">
    <w:name w:val="ListLabel 185"/>
    <w:qFormat/>
    <w:rPr>
      <w:rFonts w:cs="Courier New"/>
    </w:rPr>
  </w:style>
  <w:style w:type="character" w:styleId="ListLabel186">
    <w:name w:val="ListLabel 186"/>
    <w:qFormat/>
    <w:rPr>
      <w:rFonts w:cs="Wingdings"/>
    </w:rPr>
  </w:style>
  <w:style w:type="character" w:styleId="ListLabel187">
    <w:name w:val="ListLabel 187"/>
    <w:qFormat/>
    <w:rPr>
      <w:rFonts w:ascii="Cambria" w:hAnsi="Cambria" w:cs="Symbol"/>
      <w:b/>
      <w:sz w:val="28"/>
    </w:rPr>
  </w:style>
  <w:style w:type="character" w:styleId="ListLabel188">
    <w:name w:val="ListLabel 188"/>
    <w:qFormat/>
    <w:rPr>
      <w:rFonts w:cs="Courier New"/>
    </w:rPr>
  </w:style>
  <w:style w:type="character" w:styleId="ListLabel189">
    <w:name w:val="ListLabel 189"/>
    <w:qFormat/>
    <w:rPr>
      <w:rFonts w:cs="Wingdings"/>
    </w:rPr>
  </w:style>
  <w:style w:type="character" w:styleId="ListLabel190">
    <w:name w:val="ListLabel 190"/>
    <w:qFormat/>
    <w:rPr>
      <w:rFonts w:cs="Symbol"/>
    </w:rPr>
  </w:style>
  <w:style w:type="character" w:styleId="ListLabel191">
    <w:name w:val="ListLabel 191"/>
    <w:qFormat/>
    <w:rPr>
      <w:rFonts w:cs="Courier New"/>
    </w:rPr>
  </w:style>
  <w:style w:type="character" w:styleId="ListLabel192">
    <w:name w:val="ListLabel 192"/>
    <w:qFormat/>
    <w:rPr>
      <w:rFonts w:cs="Wingdings"/>
    </w:rPr>
  </w:style>
  <w:style w:type="character" w:styleId="ListLabel193">
    <w:name w:val="ListLabel 193"/>
    <w:qFormat/>
    <w:rPr>
      <w:rFonts w:cs="Symbol"/>
    </w:rPr>
  </w:style>
  <w:style w:type="character" w:styleId="ListLabel194">
    <w:name w:val="ListLabel 194"/>
    <w:qFormat/>
    <w:rPr>
      <w:rFonts w:cs="Courier New"/>
    </w:rPr>
  </w:style>
  <w:style w:type="character" w:styleId="ListLabel195">
    <w:name w:val="ListLabel 195"/>
    <w:qFormat/>
    <w:rPr>
      <w:rFonts w:cs="Wingdings"/>
    </w:rPr>
  </w:style>
  <w:style w:type="character" w:styleId="ListLabel196">
    <w:name w:val="ListLabel 196"/>
    <w:qFormat/>
    <w:rPr>
      <w:rFonts w:ascii="Cambria" w:hAnsi="Cambria" w:cs="Symbol"/>
      <w:sz w:val="28"/>
    </w:rPr>
  </w:style>
  <w:style w:type="character" w:styleId="ListLabel197">
    <w:name w:val="ListLabel 197"/>
    <w:qFormat/>
    <w:rPr>
      <w:rFonts w:cs="Courier New"/>
    </w:rPr>
  </w:style>
  <w:style w:type="character" w:styleId="ListLabel198">
    <w:name w:val="ListLabel 198"/>
    <w:qFormat/>
    <w:rPr>
      <w:rFonts w:cs="Wingdings"/>
    </w:rPr>
  </w:style>
  <w:style w:type="character" w:styleId="ListLabel199">
    <w:name w:val="ListLabel 199"/>
    <w:qFormat/>
    <w:rPr>
      <w:rFonts w:cs="Symbol"/>
    </w:rPr>
  </w:style>
  <w:style w:type="character" w:styleId="ListLabel200">
    <w:name w:val="ListLabel 200"/>
    <w:qFormat/>
    <w:rPr>
      <w:rFonts w:cs="Courier New"/>
    </w:rPr>
  </w:style>
  <w:style w:type="character" w:styleId="ListLabel201">
    <w:name w:val="ListLabel 201"/>
    <w:qFormat/>
    <w:rPr>
      <w:rFonts w:cs="Wingdings"/>
    </w:rPr>
  </w:style>
  <w:style w:type="character" w:styleId="ListLabel202">
    <w:name w:val="ListLabel 202"/>
    <w:qFormat/>
    <w:rPr>
      <w:rFonts w:cs="Symbol"/>
    </w:rPr>
  </w:style>
  <w:style w:type="character" w:styleId="ListLabel203">
    <w:name w:val="ListLabel 203"/>
    <w:qFormat/>
    <w:rPr>
      <w:rFonts w:cs="Courier New"/>
    </w:rPr>
  </w:style>
  <w:style w:type="character" w:styleId="ListLabel204">
    <w:name w:val="ListLabel 204"/>
    <w:qFormat/>
    <w:rPr>
      <w:rFonts w:cs="Wingdings"/>
    </w:rPr>
  </w:style>
  <w:style w:type="character" w:styleId="ListLabel205">
    <w:name w:val="ListLabel 205"/>
    <w:qFormat/>
    <w:rPr>
      <w:rFonts w:ascii="Cambria" w:hAnsi="Cambria"/>
      <w:sz w:val="28"/>
      <w:szCs w:val="28"/>
      <w:highlight w:val="white"/>
    </w:rPr>
  </w:style>
  <w:style w:type="character" w:styleId="ListLabel206">
    <w:name w:val="ListLabel 206"/>
    <w:qFormat/>
    <w:rPr>
      <w:rFonts w:ascii="Cambria" w:hAnsi="Cambria"/>
      <w:color w:val="416ED2"/>
      <w:sz w:val="28"/>
      <w:szCs w:val="28"/>
      <w:shd w:fill="FFFFFF" w:val="clear"/>
    </w:rPr>
  </w:style>
  <w:style w:type="character" w:styleId="ListLabel207">
    <w:name w:val="ListLabel 207"/>
    <w:qFormat/>
    <w:rPr>
      <w:rFonts w:ascii="Cambria" w:hAnsi="Cambria"/>
      <w:color w:val="0070C0"/>
      <w:sz w:val="28"/>
      <w:szCs w:val="28"/>
      <w:highlight w:val="white"/>
    </w:rPr>
  </w:style>
  <w:style w:type="character" w:styleId="ListLabel208">
    <w:name w:val="ListLabel 208"/>
    <w:qFormat/>
    <w:rPr>
      <w:rFonts w:ascii="Cambria" w:hAnsi="Cambria"/>
      <w:color w:val="416ED2"/>
      <w:sz w:val="28"/>
      <w:szCs w:val="28"/>
      <w:shd w:fill="FFFFFF" w:val="clear"/>
    </w:rPr>
  </w:style>
  <w:style w:type="character" w:styleId="ListLabel209">
    <w:name w:val="ListLabel 209"/>
    <w:qFormat/>
    <w:rPr>
      <w:rFonts w:ascii="Cambria" w:hAnsi="Cambria"/>
      <w:color w:val="416ED2"/>
      <w:sz w:val="28"/>
      <w:szCs w:val="28"/>
      <w:shd w:fill="FFFFFF" w:val="clear"/>
    </w:rPr>
  </w:style>
  <w:style w:type="character" w:styleId="ListLabel210">
    <w:name w:val="ListLabel 210"/>
    <w:qFormat/>
    <w:rPr>
      <w:rFonts w:ascii="Cambria" w:hAnsi="Cambria"/>
      <w:b/>
      <w:bCs/>
      <w:caps w:val="false"/>
      <w:smallCaps w:val="false"/>
      <w:strike w:val="false"/>
      <w:dstrike w:val="false"/>
      <w:outline w:val="false"/>
      <w:emboss w:val="false"/>
      <w:imprint w:val="false"/>
      <w:spacing w:val="0"/>
      <w:w w:val="100"/>
      <w:kern w:val="0"/>
      <w:position w:val="0"/>
      <w:sz w:val="28"/>
      <w:sz w:val="28"/>
      <w:vertAlign w:val="baseline"/>
    </w:rPr>
  </w:style>
  <w:style w:type="character" w:styleId="ListLabel211">
    <w:name w:val="ListLabel 211"/>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212">
    <w:name w:val="ListLabel 212"/>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213">
    <w:name w:val="ListLabel 213"/>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214">
    <w:name w:val="ListLabel 214"/>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215">
    <w:name w:val="ListLabel 215"/>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216">
    <w:name w:val="ListLabel 216"/>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217">
    <w:name w:val="ListLabel 217"/>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218">
    <w:name w:val="ListLabel 218"/>
    <w:qFormat/>
    <w:rPr>
      <w:b/>
      <w:bCs/>
      <w:caps w:val="false"/>
      <w:smallCaps w:val="false"/>
      <w:strike w:val="false"/>
      <w:dstrike w:val="false"/>
      <w:outline w:val="false"/>
      <w:emboss w:val="false"/>
      <w:imprint w:val="false"/>
      <w:spacing w:val="0"/>
      <w:w w:val="100"/>
      <w:kern w:val="0"/>
      <w:position w:val="0"/>
      <w:sz w:val="24"/>
      <w:sz w:val="24"/>
      <w:vertAlign w:val="baseline"/>
    </w:rPr>
  </w:style>
  <w:style w:type="character" w:styleId="ListLabel219">
    <w:name w:val="ListLabel 219"/>
    <w:qFormat/>
    <w:rPr>
      <w:rFonts w:ascii="Cambria" w:hAnsi="Cambria"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8"/>
      <w:sz w:val="28"/>
      <w:vertAlign w:val="baseline"/>
    </w:rPr>
  </w:style>
  <w:style w:type="character" w:styleId="ListLabel220">
    <w:name w:val="ListLabel 220"/>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21">
    <w:name w:val="ListLabel 221"/>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22">
    <w:name w:val="ListLabel 222"/>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23">
    <w:name w:val="ListLabel 223"/>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24">
    <w:name w:val="ListLabel 224"/>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25">
    <w:name w:val="ListLabel 225"/>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26">
    <w:name w:val="ListLabel 226"/>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27">
    <w:name w:val="ListLabel 227"/>
    <w:qFormat/>
    <w:rPr>
      <w:rFonts w:cs="Helvetica Neue"/>
      <w:b w:val="false"/>
      <w:bCs w:val="false"/>
      <w:i w:val="false"/>
      <w:iCs w:val="false"/>
      <w:caps w:val="false"/>
      <w:smallCaps w:val="false"/>
      <w:strike w:val="false"/>
      <w:dstrike w:val="false"/>
      <w:outline w:val="false"/>
      <w:emboss w:val="false"/>
      <w:imprint w:val="false"/>
      <w:color w:val="1A1A1A"/>
      <w:spacing w:val="0"/>
      <w:w w:val="100"/>
      <w:kern w:val="0"/>
      <w:position w:val="0"/>
      <w:sz w:val="24"/>
      <w:sz w:val="24"/>
      <w:vertAlign w:val="baseline"/>
    </w:rPr>
  </w:style>
  <w:style w:type="character" w:styleId="ListLabel228">
    <w:name w:val="ListLabel 228"/>
    <w:qFormat/>
    <w:rPr>
      <w:rFonts w:ascii="Cambria" w:hAnsi="Cambria" w:cs="Symbol"/>
      <w:b/>
      <w:sz w:val="28"/>
    </w:rPr>
  </w:style>
  <w:style w:type="character" w:styleId="ListLabel229">
    <w:name w:val="ListLabel 229"/>
    <w:qFormat/>
    <w:rPr>
      <w:rFonts w:cs="Courier New"/>
    </w:rPr>
  </w:style>
  <w:style w:type="character" w:styleId="ListLabel230">
    <w:name w:val="ListLabel 230"/>
    <w:qFormat/>
    <w:rPr>
      <w:rFonts w:cs="Wingdings"/>
    </w:rPr>
  </w:style>
  <w:style w:type="character" w:styleId="ListLabel231">
    <w:name w:val="ListLabel 231"/>
    <w:qFormat/>
    <w:rPr>
      <w:rFonts w:cs="Symbol"/>
    </w:rPr>
  </w:style>
  <w:style w:type="character" w:styleId="ListLabel232">
    <w:name w:val="ListLabel 232"/>
    <w:qFormat/>
    <w:rPr>
      <w:rFonts w:cs="Courier New"/>
    </w:rPr>
  </w:style>
  <w:style w:type="character" w:styleId="ListLabel233">
    <w:name w:val="ListLabel 233"/>
    <w:qFormat/>
    <w:rPr>
      <w:rFonts w:cs="Wingdings"/>
    </w:rPr>
  </w:style>
  <w:style w:type="character" w:styleId="ListLabel234">
    <w:name w:val="ListLabel 234"/>
    <w:qFormat/>
    <w:rPr>
      <w:rFonts w:cs="Symbol"/>
    </w:rPr>
  </w:style>
  <w:style w:type="character" w:styleId="ListLabel235">
    <w:name w:val="ListLabel 235"/>
    <w:qFormat/>
    <w:rPr>
      <w:rFonts w:cs="Courier New"/>
    </w:rPr>
  </w:style>
  <w:style w:type="character" w:styleId="ListLabel236">
    <w:name w:val="ListLabel 236"/>
    <w:qFormat/>
    <w:rPr>
      <w:rFonts w:cs="Wingdings"/>
    </w:rPr>
  </w:style>
  <w:style w:type="character" w:styleId="ListLabel237">
    <w:name w:val="ListLabel 237"/>
    <w:qFormat/>
    <w:rPr>
      <w:rFonts w:ascii="Cambria" w:hAnsi="Cambria" w:cs="Symbol"/>
      <w:b/>
      <w:sz w:val="28"/>
    </w:rPr>
  </w:style>
  <w:style w:type="character" w:styleId="ListLabel238">
    <w:name w:val="ListLabel 238"/>
    <w:qFormat/>
    <w:rPr>
      <w:rFonts w:cs="Courier New"/>
    </w:rPr>
  </w:style>
  <w:style w:type="character" w:styleId="ListLabel239">
    <w:name w:val="ListLabel 239"/>
    <w:qFormat/>
    <w:rPr>
      <w:rFonts w:cs="Wingdings"/>
    </w:rPr>
  </w:style>
  <w:style w:type="character" w:styleId="ListLabel240">
    <w:name w:val="ListLabel 240"/>
    <w:qFormat/>
    <w:rPr>
      <w:rFonts w:cs="Symbol"/>
    </w:rPr>
  </w:style>
  <w:style w:type="character" w:styleId="ListLabel241">
    <w:name w:val="ListLabel 241"/>
    <w:qFormat/>
    <w:rPr>
      <w:rFonts w:cs="Courier New"/>
    </w:rPr>
  </w:style>
  <w:style w:type="character" w:styleId="ListLabel242">
    <w:name w:val="ListLabel 242"/>
    <w:qFormat/>
    <w:rPr>
      <w:rFonts w:cs="Wingdings"/>
    </w:rPr>
  </w:style>
  <w:style w:type="character" w:styleId="ListLabel243">
    <w:name w:val="ListLabel 243"/>
    <w:qFormat/>
    <w:rPr>
      <w:rFonts w:cs="Symbol"/>
    </w:rPr>
  </w:style>
  <w:style w:type="character" w:styleId="ListLabel244">
    <w:name w:val="ListLabel 244"/>
    <w:qFormat/>
    <w:rPr>
      <w:rFonts w:cs="Courier New"/>
    </w:rPr>
  </w:style>
  <w:style w:type="character" w:styleId="ListLabel245">
    <w:name w:val="ListLabel 245"/>
    <w:qFormat/>
    <w:rPr>
      <w:rFonts w:cs="Wingdings"/>
    </w:rPr>
  </w:style>
  <w:style w:type="character" w:styleId="ListLabel246">
    <w:name w:val="ListLabel 246"/>
    <w:qFormat/>
    <w:rPr>
      <w:rFonts w:ascii="Cambria" w:hAnsi="Cambria" w:cs="Symbol"/>
      <w:sz w:val="28"/>
    </w:rPr>
  </w:style>
  <w:style w:type="character" w:styleId="ListLabel247">
    <w:name w:val="ListLabel 247"/>
    <w:qFormat/>
    <w:rPr>
      <w:rFonts w:cs="Courier New"/>
    </w:rPr>
  </w:style>
  <w:style w:type="character" w:styleId="ListLabel248">
    <w:name w:val="ListLabel 248"/>
    <w:qFormat/>
    <w:rPr>
      <w:rFonts w:cs="Wingdings"/>
    </w:rPr>
  </w:style>
  <w:style w:type="character" w:styleId="ListLabel249">
    <w:name w:val="ListLabel 249"/>
    <w:qFormat/>
    <w:rPr>
      <w:rFonts w:cs="Symbol"/>
    </w:rPr>
  </w:style>
  <w:style w:type="character" w:styleId="ListLabel250">
    <w:name w:val="ListLabel 250"/>
    <w:qFormat/>
    <w:rPr>
      <w:rFonts w:cs="Courier New"/>
    </w:rPr>
  </w:style>
  <w:style w:type="character" w:styleId="ListLabel251">
    <w:name w:val="ListLabel 251"/>
    <w:qFormat/>
    <w:rPr>
      <w:rFonts w:cs="Wingdings"/>
    </w:rPr>
  </w:style>
  <w:style w:type="character" w:styleId="ListLabel252">
    <w:name w:val="ListLabel 252"/>
    <w:qFormat/>
    <w:rPr>
      <w:rFonts w:cs="Symbol"/>
    </w:rPr>
  </w:style>
  <w:style w:type="character" w:styleId="ListLabel253">
    <w:name w:val="ListLabel 253"/>
    <w:qFormat/>
    <w:rPr>
      <w:rFonts w:cs="Courier New"/>
    </w:rPr>
  </w:style>
  <w:style w:type="character" w:styleId="ListLabel254">
    <w:name w:val="ListLabel 254"/>
    <w:qFormat/>
    <w:rPr>
      <w:rFonts w:cs="Wingdings"/>
    </w:rPr>
  </w:style>
  <w:style w:type="character" w:styleId="ListLabel255">
    <w:name w:val="ListLabel 255"/>
    <w:qFormat/>
    <w:rPr>
      <w:rFonts w:ascii="Cambria" w:hAnsi="Cambria"/>
      <w:sz w:val="28"/>
      <w:szCs w:val="28"/>
      <w:highlight w:val="white"/>
    </w:rPr>
  </w:style>
  <w:style w:type="character" w:styleId="ListLabel256">
    <w:name w:val="ListLabel 256"/>
    <w:qFormat/>
    <w:rPr>
      <w:rFonts w:ascii="Cambria" w:hAnsi="Cambria"/>
      <w:color w:val="416ED2"/>
      <w:sz w:val="28"/>
      <w:szCs w:val="28"/>
      <w:shd w:fill="FFFFFF" w:val="clear"/>
    </w:rPr>
  </w:style>
  <w:style w:type="character" w:styleId="ListLabel257">
    <w:name w:val="ListLabel 257"/>
    <w:qFormat/>
    <w:rPr>
      <w:rFonts w:ascii="Cambria" w:hAnsi="Cambria"/>
      <w:color w:val="0070C0"/>
      <w:sz w:val="28"/>
      <w:szCs w:val="28"/>
      <w:highlight w:val="white"/>
    </w:rPr>
  </w:style>
  <w:style w:type="character" w:styleId="ListLabel258">
    <w:name w:val="ListLabel 258"/>
    <w:qFormat/>
    <w:rPr>
      <w:rFonts w:ascii="Cambria" w:hAnsi="Cambria"/>
      <w:color w:val="416ED2"/>
      <w:sz w:val="28"/>
      <w:szCs w:val="28"/>
      <w:shd w:fill="FFFFFF" w:val="clear"/>
    </w:rPr>
  </w:style>
  <w:style w:type="character" w:styleId="ListLabel259">
    <w:name w:val="ListLabel 259"/>
    <w:qFormat/>
    <w:rPr>
      <w:rFonts w:ascii="Cambria" w:hAnsi="Cambria"/>
      <w:color w:val="416ED2"/>
      <w:sz w:val="28"/>
      <w:szCs w:val="28"/>
      <w:shd w:fill="FFFFFF" w:val="clear"/>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Default" w:customStyle="1">
    <w:name w:val="Default"/>
    <w:qFormat/>
    <w:pPr>
      <w:widowControl/>
      <w:bidi w:val="0"/>
      <w:spacing w:before="160" w:after="0"/>
      <w:jc w:val="left"/>
    </w:pPr>
    <w:rPr>
      <w:rFonts w:ascii="Helvetica Neue" w:hAnsi="Helvetica Neue" w:eastAsia="Arial Unicode MS" w:cs="Arial Unicode MS"/>
      <w:color w:val="000000"/>
      <w:kern w:val="0"/>
      <w:sz w:val="24"/>
      <w:szCs w:val="24"/>
      <w:lang w:val="en-US" w:eastAsia="en-US" w:bidi="ar-SA"/>
      <w14:textOutline w14:w="0" w14:cap="flat" w14:cmpd="sng" w14:algn="ctr">
        <w14:noFill/>
        <w14:prstDash w14:val="solid"/>
        <w14:bevel/>
      </w14:textOutline>
    </w:rPr>
  </w:style>
  <w:style w:type="paragraph" w:styleId="ListParagraph">
    <w:name w:val="List Paragraph"/>
    <w:basedOn w:val="Normal"/>
    <w:uiPriority w:val="34"/>
    <w:qFormat/>
    <w:rsid w:val="00af16d1"/>
    <w:pPr>
      <w:spacing w:before="0" w:after="0"/>
      <w:ind w:left="720" w:hanging="0"/>
      <w:contextualSpacing/>
    </w:pPr>
    <w:rPr/>
  </w:style>
  <w:style w:type="paragraph" w:styleId="BalloonText">
    <w:name w:val="Balloon Text"/>
    <w:basedOn w:val="Normal"/>
    <w:link w:val="BalloonTextChar"/>
    <w:uiPriority w:val="99"/>
    <w:semiHidden/>
    <w:unhideWhenUsed/>
    <w:qFormat/>
    <w:rsid w:val="00af16d1"/>
    <w:pPr/>
    <w:rPr>
      <w:rFonts w:ascii="Segoe UI" w:hAnsi="Segoe UI" w:cs="Segoe UI"/>
      <w:sz w:val="18"/>
      <w:szCs w:val="18"/>
    </w:rPr>
  </w:style>
  <w:style w:type="paragraph" w:styleId="FrameContents">
    <w:name w:val="Frame Contents"/>
    <w:basedOn w:val="Normal"/>
    <w:qFormat/>
    <w:pPr/>
    <w:rPr/>
  </w:style>
  <w:style w:type="paragraph" w:styleId="Header">
    <w:name w:val="Header"/>
    <w:basedOn w:val="Normal"/>
    <w:pPr/>
    <w:rPr/>
  </w:style>
  <w:style w:type="paragraph" w:styleId="Footer">
    <w:name w:val="Footer"/>
    <w:basedOn w:val="Normal"/>
    <w:pPr/>
    <w:rPr/>
  </w:style>
  <w:style w:type="numbering" w:styleId="NoList" w:default="1">
    <w:name w:val="No List"/>
    <w:uiPriority w:val="99"/>
    <w:semiHidden/>
    <w:unhideWhenUsed/>
    <w:qFormat/>
  </w:style>
  <w:style w:type="numbering" w:styleId="Lettered" w:customStyle="1">
    <w:name w:val="Lettered"/>
    <w:qFormat/>
  </w:style>
  <w:style w:type="numbering" w:styleId="Bullet" w:customStyle="1">
    <w:name w:val="Bullet"/>
    <w:qForma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a2ascholarships.iccr.gov.in/" TargetMode="External"/><Relationship Id="rId4" Type="http://schemas.openxmlformats.org/officeDocument/2006/relationships/hyperlink" Target="http://a2ascholarships.iccr.gov.in/" TargetMode="External"/><Relationship Id="rId5" Type="http://schemas.openxmlformats.org/officeDocument/2006/relationships/hyperlink" Target="http://a2ascholarships.iccr.gov.in/" TargetMode="External"/><Relationship Id="rId6" Type="http://schemas.openxmlformats.org/officeDocument/2006/relationships/hyperlink" Target="http://a2ascholarships.iccr.gov.in/assets/site/docs/applicant_guidelines_b eforefilling.pdf" TargetMode="External"/><Relationship Id="rId7" Type="http://schemas.openxmlformats.org/officeDocument/2006/relationships/hyperlink" Target="http://a2ascholarships.iccr.gov.in/home/page/faq" TargetMode="External"/><Relationship Id="rId8" Type="http://schemas.openxmlformats.org/officeDocument/2006/relationships/hyperlink" Target="http://a2ascholarships.iccr.gov.in/assets/site/docs/Financial_Terms.pdf" TargetMode="External"/><Relationship Id="rId9" Type="http://schemas.openxmlformats.org/officeDocument/2006/relationships/hyperlink" Target="mailto:cul.madrid@mea.gov.in" TargetMode="External"/><Relationship Id="rId10" Type="http://schemas.openxmlformats.org/officeDocument/2006/relationships/image" Target="media/image2.png"/><Relationship Id="rId11" Type="http://schemas.openxmlformats.org/officeDocument/2006/relationships/hyperlink" Target="http://a2ascholarships.iccr.gov.in/" TargetMode="External"/><Relationship Id="rId12" Type="http://schemas.openxmlformats.org/officeDocument/2006/relationships/hyperlink" Target="http://a2ascholarships.iccr.gov.in/" TargetMode="External"/><Relationship Id="rId13" Type="http://schemas.openxmlformats.org/officeDocument/2006/relationships/hyperlink" Target="http://www.a2ascholarships.iccr.gov.in/" TargetMode="External"/><Relationship Id="rId14" Type="http://schemas.openxmlformats.org/officeDocument/2006/relationships/hyperlink" Target="http://a2ascholarships.iccr.gov.in/assets/site/docs/applicant_guidelines_beforefilling.pdf" TargetMode="External"/><Relationship Id="rId15" Type="http://schemas.openxmlformats.org/officeDocument/2006/relationships/hyperlink" Target="http://a2ascholarships.iccr.gov.in/assets/site/docs/applicant_guidelines_beforefilling.pdf" TargetMode="External"/><Relationship Id="rId16" Type="http://schemas.openxmlformats.org/officeDocument/2006/relationships/hyperlink" Target="http://a2ascholarships.iccr.gov.in/home/page/faq" TargetMode="External"/><Relationship Id="rId17" Type="http://schemas.openxmlformats.org/officeDocument/2006/relationships/hyperlink" Target="http://a2ascholarships.iccr.gov.in/assets/site/docs/Financial_Terms.pdf" TargetMode="External"/><Relationship Id="rId18" Type="http://schemas.openxmlformats.org/officeDocument/2006/relationships/hyperlink" Target="mailto:cul.madrid@mea.gov.in" TargetMode="External"/><Relationship Id="rId19" Type="http://schemas.openxmlformats.org/officeDocument/2006/relationships/image" Target="media/image3.png"/><Relationship Id="rId20" Type="http://schemas.openxmlformats.org/officeDocument/2006/relationships/hyperlink" Target="http://a2ascholarships.iccr.gov.in/" TargetMode="External"/><Relationship Id="rId21" Type="http://schemas.openxmlformats.org/officeDocument/2006/relationships/hyperlink" Target="http://a2ascholarships.iccr.gov.in/" TargetMode="External"/><Relationship Id="rId22" Type="http://schemas.openxmlformats.org/officeDocument/2006/relationships/hyperlink" Target="http://www.a2ascholarships.iccr.gov.in/" TargetMode="External"/><Relationship Id="rId23" Type="http://schemas.openxmlformats.org/officeDocument/2006/relationships/hyperlink" Target="http://a2ascholarships.iccr.gov.in/assets/site/docs/applicant_guidelines_beforefilling.pdf" TargetMode="External"/><Relationship Id="rId24" Type="http://schemas.openxmlformats.org/officeDocument/2006/relationships/hyperlink" Target="http://a2ascholarships.iccr.gov.in/assets/site/docs/applicant_guidelines_beforefilling.pdf" TargetMode="External"/><Relationship Id="rId25" Type="http://schemas.openxmlformats.org/officeDocument/2006/relationships/hyperlink" Target="http://a2ascholarships.iccr.gov.in/home/page/faq" TargetMode="External"/><Relationship Id="rId26" Type="http://schemas.openxmlformats.org/officeDocument/2006/relationships/hyperlink" Target="http://a2ascholarships.iccr.gov.in/assets/site/docs/Financial_Terms.pdf" TargetMode="External"/><Relationship Id="rId27" Type="http://schemas.openxmlformats.org/officeDocument/2006/relationships/hyperlink" Target="mailto:cul.madrid@mea.gov.in" TargetMode="External"/><Relationship Id="rId28" Type="http://schemas.openxmlformats.org/officeDocument/2006/relationships/header" Target="header1.xml"/><Relationship Id="rId29" Type="http://schemas.openxmlformats.org/officeDocument/2006/relationships/footer" Target="footer1.xml"/><Relationship Id="rId30" Type="http://schemas.openxmlformats.org/officeDocument/2006/relationships/numbering" Target="numbering.xml"/><Relationship Id="rId31" Type="http://schemas.openxmlformats.org/officeDocument/2006/relationships/fontTable" Target="fontTable.xml"/><Relationship Id="rId32" Type="http://schemas.openxmlformats.org/officeDocument/2006/relationships/settings" Target="settings.xml"/><Relationship Id="rId33" Type="http://schemas.openxmlformats.org/officeDocument/2006/relationships/theme" Target="theme/theme1.xml"/>
</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2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Application>LibreOffice/6.0.7.3.0$Linux_X86_64 LibreOffice_project/00$Build-3</Application>
  <Pages>9</Pages>
  <Words>1523</Words>
  <Characters>9492</Characters>
  <CharactersWithSpaces>10961</CharactersWithSpaces>
  <Paragraphs>80</Paragraphs>
  <Company>Grizli777</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2021-04-12T09:26:00Z</dcterms:created>
  <dc:creator>PC-01</dc:creator>
  <dc:description/>
  <dc:language>en-US</dc:language>
  <cp:lastModifiedBy/>
  <cp:lastPrinted>2021-03-23T15:11:00Z</cp:lastPrinted>
  <dcterms:modified xsi:type="dcterms:W3CDTF">2021-04-20T16:14:10Z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Grizli777</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