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Century Gothic" w:cs="Century Gothic" w:eastAsia="Century Gothic" w:hAnsi="Century Gothic"/>
          <w:b w:val="1"/>
          <w:bCs w:val="1"/>
          <w:color w:val="666666"/>
          <w:sz w:val="26"/>
          <w:szCs w:val="26"/>
        </w:rPr>
      </w:pPr>
      <w:r w:rsidDel="00000000" w:rsidR="00000000" w:rsidRPr="00000000">
        <w:rPr>
          <w:rtl w:val="0"/>
        </w:rPr>
      </w:r>
    </w:p>
    <w:p w:rsidR="00000000" w:rsidDel="00000000" w:rsidP="00000000" w:rsidRDefault="00000000" w:rsidRPr="00000000" w14:paraId="00000002">
      <w:pPr>
        <w:pStyle w:val="Heading2"/>
        <w:spacing w:after="120" w:before="0" w:lineRule="auto"/>
        <w:jc w:val="center"/>
        <w:rPr>
          <w:rFonts w:ascii="Century Gothic" w:cs="Century Gothic" w:eastAsia="Century Gothic" w:hAnsi="Century Gothic"/>
          <w:color w:val="1f1f1f"/>
          <w:sz w:val="24"/>
          <w:szCs w:val="24"/>
        </w:rPr>
      </w:pPr>
      <w:r w:rsidDel="00000000" w:rsidR="00000000" w:rsidRPr="00000000">
        <w:rPr>
          <w:rFonts w:ascii="Century Gothic" w:cs="Century Gothic" w:eastAsia="Century Gothic" w:hAnsi="Century Gothic"/>
          <w:color w:val="1f1f1f"/>
          <w:sz w:val="24"/>
          <w:szCs w:val="24"/>
          <w:rtl w:val="0"/>
        </w:rPr>
        <w:t xml:space="preserve">INSTRUCCIÓN CONJUNTA DEL VICERRECTORADO DE INTERNACIONALIZACIÓN Y DEL VICERRECTORADO DE ENSEÑANZAS OFICIALES DE LA UNIVERSIDAD DE JAÉN POR LA QUE SE CREA Y REGULA EL CERTIFICADO EN COMPETENCIAS INTERNACIONALES</w:t>
      </w:r>
    </w:p>
    <w:p w:rsidR="00000000" w:rsidDel="00000000" w:rsidP="00000000" w:rsidRDefault="00000000" w:rsidRPr="00000000" w14:paraId="00000003">
      <w:pPr>
        <w:pStyle w:val="Heading2"/>
        <w:spacing w:after="120" w:before="0" w:lineRule="auto"/>
        <w:jc w:val="center"/>
        <w:rPr>
          <w:rFonts w:ascii="Century Gothic" w:cs="Century Gothic" w:eastAsia="Century Gothic" w:hAnsi="Century Gothic"/>
          <w:b w:val="0"/>
          <w:bCs w:val="0"/>
          <w:color w:val="666666"/>
          <w:sz w:val="26"/>
          <w:szCs w:val="26"/>
        </w:rPr>
      </w:pPr>
      <w:r w:rsidDel="00000000" w:rsidR="00000000" w:rsidRPr="00000000">
        <w:rPr>
          <w:rFonts w:ascii="Century Gothic" w:cs="Century Gothic" w:eastAsia="Century Gothic" w:hAnsi="Century Gothic"/>
          <w:color w:val="666666"/>
          <w:sz w:val="26"/>
          <w:szCs w:val="26"/>
          <w:rtl w:val="0"/>
        </w:rPr>
        <w:t xml:space="preserve">----</w:t>
      </w:r>
      <w:r w:rsidDel="00000000" w:rsidR="00000000" w:rsidRPr="00000000">
        <w:rPr>
          <w:rtl w:val="0"/>
        </w:rPr>
      </w:r>
    </w:p>
    <w:p w:rsidR="00000000" w:rsidDel="00000000" w:rsidP="00000000" w:rsidRDefault="00000000" w:rsidRPr="00000000" w14:paraId="00000004">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1"/>
          <w:bCs w:val="1"/>
          <w:i w:val="0"/>
          <w:iCs w:val="0"/>
          <w:smallCaps w:val="0"/>
          <w:strike w:val="0"/>
          <w:color w:val="385623"/>
          <w:sz w:val="21"/>
          <w:szCs w:val="21"/>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385623"/>
          <w:sz w:val="21"/>
          <w:szCs w:val="21"/>
          <w:u w:val="none"/>
          <w:shd w:fill="auto" w:val="clear"/>
          <w:vertAlign w:val="baseline"/>
          <w:rtl w:val="0"/>
        </w:rPr>
        <w:t xml:space="preserve">EXPOSICIÓN DE MOTIVOS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La Universidad de Jaén (UJA) es una institución comprometida con la internacionalización de la educación superior y la formación en un entorno global de su  estudiantado. El III Plan Estratégico de la Universidad de Jaén (2021-2029), en su revisión de 2025, establece como Objetivo Transversal (OE6) internacionalizar transversalmente toda la actividad universitaria. Para lograrlo, </w:t>
      </w:r>
      <w:r w:rsidDel="00000000" w:rsidR="00000000" w:rsidRPr="00000000">
        <w:rPr>
          <w:rFonts w:ascii="Century Gothic" w:cs="Century Gothic" w:eastAsia="Century Gothic" w:hAnsi="Century Gothic"/>
          <w:color w:val="1f1f1f"/>
          <w:sz w:val="20"/>
          <w:szCs w:val="20"/>
          <w:rtl w:val="0"/>
        </w:rPr>
        <w:t xml:space="preserve">es prioritario integrar la cultura de la internacionalización en toda la actividad universitaria</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con especial incidencia en la docencia, investigación y proyección institucional.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En</w:t>
      </w:r>
      <w:r w:rsidDel="00000000" w:rsidR="00000000" w:rsidRPr="00000000">
        <w:rPr>
          <w:rFonts w:ascii="Century Gothic" w:cs="Century Gothic" w:eastAsia="Century Gothic" w:hAnsi="Century Gothic"/>
          <w:color w:val="1f1f1f"/>
          <w:sz w:val="20"/>
          <w:szCs w:val="20"/>
          <w:rtl w:val="0"/>
        </w:rPr>
        <w:t xml:space="preserve"> el</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contexto socioeducativo actual, y en sintonía con el impulso de la Comisión Europea hacia la consolidación de una verdadera Unión de las Competencias que fomente la capacitación e intercambiabilidad de competencias y resultados de aprendizaje, resulta esencial preparar al estudiantado de la UJA para un mundo global, facilitando su exposición a experiencias a</w:t>
      </w:r>
      <w:r w:rsidDel="00000000" w:rsidR="00000000" w:rsidRPr="00000000">
        <w:rPr>
          <w:rFonts w:ascii="Century Gothic" w:cs="Century Gothic" w:eastAsia="Century Gothic" w:hAnsi="Century Gothic"/>
          <w:color w:val="1f1f1f"/>
          <w:sz w:val="20"/>
          <w:szCs w:val="20"/>
          <w:rtl w:val="0"/>
        </w:rPr>
        <w:t xml:space="preserve">cadémicas</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interculturales</w:t>
      </w:r>
      <w:r w:rsidDel="00000000" w:rsidR="00000000" w:rsidRPr="00000000">
        <w:rPr>
          <w:rFonts w:ascii="Century Gothic" w:cs="Century Gothic" w:eastAsia="Century Gothic" w:hAnsi="Century Gothic"/>
          <w:color w:val="1f1f1f"/>
          <w:sz w:val="20"/>
          <w:szCs w:val="20"/>
          <w:rtl w:val="0"/>
        </w:rPr>
        <w:t xml:space="preserve"> y</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plurilingües de carácter internacional. Esta exposición es clave para adquirir capacidades </w:t>
      </w:r>
      <w:r w:rsidDel="00000000" w:rsidR="00000000" w:rsidRPr="00000000">
        <w:rPr>
          <w:rFonts w:ascii="Century Gothic" w:cs="Century Gothic" w:eastAsia="Century Gothic" w:hAnsi="Century Gothic"/>
          <w:color w:val="1f1f1f"/>
          <w:sz w:val="20"/>
          <w:szCs w:val="20"/>
          <w:rtl w:val="0"/>
        </w:rPr>
        <w:t xml:space="preserve">transversales</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que no solo aumenten su empleabilidad y preparación para el futuro profesional, sino que también fomenten un respeto profundo hacia la diversidad </w:t>
      </w:r>
      <w:r w:rsidDel="00000000" w:rsidR="00000000" w:rsidRPr="00000000">
        <w:rPr>
          <w:rFonts w:ascii="Century Gothic" w:cs="Century Gothic" w:eastAsia="Century Gothic" w:hAnsi="Century Gothic"/>
          <w:color w:val="1f1f1f"/>
          <w:sz w:val="20"/>
          <w:szCs w:val="20"/>
          <w:rtl w:val="0"/>
        </w:rPr>
        <w:t xml:space="preserve">en todas sus dimensiones.</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color w:val="1f1f1f"/>
          <w:sz w:val="20"/>
          <w:szCs w:val="20"/>
          <w:rtl w:val="0"/>
        </w:rPr>
        <w:t xml:space="preserve">Por todo ello, se considera fundamental reconocer institucionalmente las experiencias de internacionalización en el currículo formativo del estudiantado.</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Este certificado otorga a los estudios realizados un valor añadido, constituyendo un distintivo de calidad </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y competencia</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l que puede favorecer tanto la inserción laboral del alumnado como la continuidad de los estudios en otros niveles. Inspirado en las directrices del sistema universitario y en modelos consolidados de internacionalización en casa, este documento regulará la expedición de un certificado modular que acredite formalmente el perfil internacional de los egresados y egresadas de la UJA.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rPr>
          <w:rFonts w:ascii="Century Gothic" w:cs="Century Gothic" w:eastAsia="Century Gothic" w:hAnsi="Century Gothic"/>
          <w:b w:val="1"/>
          <w:bCs w:val="1"/>
          <w:color w:val="385623"/>
        </w:rPr>
      </w:pPr>
      <w:r w:rsidDel="00000000" w:rsidR="00000000" w:rsidRPr="00000000">
        <w:rPr>
          <w:rFonts w:ascii="Century Gothic" w:cs="Century Gothic" w:eastAsia="Century Gothic" w:hAnsi="Century Gothic"/>
          <w:b w:val="1"/>
          <w:bCs w:val="1"/>
          <w:color w:val="385623"/>
          <w:rtl w:val="0"/>
        </w:rPr>
        <w:t xml:space="preserve">FUNDAMENTOS DE DERECHO</w:t>
      </w:r>
    </w:p>
    <w:p w:rsidR="00000000" w:rsidDel="00000000" w:rsidP="00000000" w:rsidRDefault="00000000" w:rsidRPr="00000000" w14:paraId="0000000B">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Primero</w:t>
      </w:r>
      <w:r w:rsidDel="00000000" w:rsidR="00000000" w:rsidRPr="00000000">
        <w:rPr>
          <w:rFonts w:ascii="Century Gothic" w:cs="Century Gothic" w:eastAsia="Century Gothic" w:hAnsi="Century Gothic"/>
          <w:sz w:val="20"/>
          <w:szCs w:val="20"/>
          <w:rtl w:val="0"/>
        </w:rPr>
        <w:t xml:space="preserve">. La Ley Orgánica 2/2023, de 22 de marzo, del Sistema Universitario (LOSU), que consagra la autonomía universitaria y la capacidad de autoorganización.</w:t>
      </w:r>
    </w:p>
    <w:p w:rsidR="00000000" w:rsidDel="00000000" w:rsidP="00000000" w:rsidRDefault="00000000" w:rsidRPr="00000000" w14:paraId="0000000C">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Segundo</w:t>
      </w:r>
      <w:r w:rsidDel="00000000" w:rsidR="00000000" w:rsidRPr="00000000">
        <w:rPr>
          <w:rFonts w:ascii="Century Gothic" w:cs="Century Gothic" w:eastAsia="Century Gothic" w:hAnsi="Century Gothic"/>
          <w:sz w:val="20"/>
          <w:szCs w:val="20"/>
          <w:rtl w:val="0"/>
        </w:rPr>
        <w:t xml:space="preserve">. Los Estatutos de la Universidad de Jaén, que atribuyen al Rector la dirección, gobierno y gestión de la Universidad, así como la competencia para desarrollar y ejecutar el presupuesto.</w:t>
      </w:r>
    </w:p>
    <w:p w:rsidR="00000000" w:rsidDel="00000000" w:rsidP="00000000" w:rsidRDefault="00000000" w:rsidRPr="00000000" w14:paraId="0000000D">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Tercero</w:t>
      </w:r>
      <w:r w:rsidDel="00000000" w:rsidR="00000000" w:rsidRPr="00000000">
        <w:rPr>
          <w:rFonts w:ascii="Century Gothic" w:cs="Century Gothic" w:eastAsia="Century Gothic" w:hAnsi="Century Gothic"/>
          <w:sz w:val="20"/>
          <w:szCs w:val="20"/>
          <w:rtl w:val="0"/>
        </w:rPr>
        <w:t xml:space="preserve">. La Resolución de 16 de junio de 2023, de la Universidad de Jaén, por la se aprueba la delegación de competencias en Vicerrectoras, Vicerrectores, Gerente y Secretaria General de esta Universidad (BOJA nº 121 de 27 de junio de 2023).</w:t>
      </w:r>
    </w:p>
    <w:p w:rsidR="00000000" w:rsidDel="00000000" w:rsidP="00000000" w:rsidRDefault="00000000" w:rsidRPr="00000000" w14:paraId="0000000E">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Cuarto</w:t>
      </w:r>
      <w:r w:rsidDel="00000000" w:rsidR="00000000" w:rsidRPr="00000000">
        <w:rPr>
          <w:rFonts w:ascii="Century Gothic" w:cs="Century Gothic" w:eastAsia="Century Gothic" w:hAnsi="Century Gothic"/>
          <w:sz w:val="20"/>
          <w:szCs w:val="20"/>
          <w:rtl w:val="0"/>
        </w:rPr>
        <w:t xml:space="preserve">. La Ley 39/2015, de 1 de octubre, del Procedimiento Administrativo Común de las Administraciones Públicas. </w:t>
      </w:r>
    </w:p>
    <w:p w:rsidR="00000000" w:rsidDel="00000000" w:rsidP="00000000" w:rsidRDefault="00000000" w:rsidRPr="00000000" w14:paraId="0000000F">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 virtud de lo expuesto, y en uso de las competencias delegadas,</w:t>
      </w:r>
    </w:p>
    <w:p w:rsidR="00000000" w:rsidDel="00000000" w:rsidP="00000000" w:rsidRDefault="00000000" w:rsidRPr="00000000" w14:paraId="00000010">
      <w:pPr>
        <w:jc w:val="both"/>
        <w:rPr>
          <w:rFonts w:ascii="Century Gothic" w:cs="Century Gothic" w:eastAsia="Century Gothic" w:hAnsi="Century Gothic"/>
          <w:b w:val="1"/>
          <w:bCs w:val="1"/>
          <w:color w:val="385623"/>
          <w:sz w:val="20"/>
          <w:szCs w:val="20"/>
        </w:rPr>
      </w:pPr>
      <w:r w:rsidDel="00000000" w:rsidR="00000000" w:rsidRPr="00000000">
        <w:rPr>
          <w:rFonts w:ascii="Century Gothic" w:cs="Century Gothic" w:eastAsia="Century Gothic" w:hAnsi="Century Gothic"/>
          <w:b w:val="1"/>
          <w:bCs w:val="1"/>
          <w:color w:val="385623"/>
          <w:sz w:val="20"/>
          <w:szCs w:val="20"/>
          <w:rtl w:val="0"/>
        </w:rPr>
        <w:t xml:space="preserve">RESUELVO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595959"/>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595959"/>
          <w:sz w:val="20"/>
          <w:szCs w:val="20"/>
          <w:u w:val="none"/>
          <w:shd w:fill="auto" w:val="clear"/>
          <w:vertAlign w:val="baseline"/>
          <w:rtl w:val="0"/>
        </w:rPr>
        <w:t xml:space="preserve">Artículo 1. Objeto</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La presente instrucción tiene por objeto la creación del </w:t>
      </w:r>
      <w:r w:rsidDel="00000000" w:rsidR="00000000" w:rsidRPr="00000000">
        <w:rPr>
          <w:rFonts w:ascii="Century Gothic" w:cs="Century Gothic" w:eastAsia="Century Gothic" w:hAnsi="Century Gothic"/>
          <w:b w:val="1"/>
          <w:bCs w:val="1"/>
          <w:i w:val="0"/>
          <w:iCs w:val="0"/>
          <w:smallCaps w:val="0"/>
          <w:strike w:val="0"/>
          <w:color w:val="1f1f1f"/>
          <w:sz w:val="20"/>
          <w:szCs w:val="20"/>
          <w:u w:val="none"/>
          <w:shd w:fill="auto" w:val="clear"/>
          <w:vertAlign w:val="baseline"/>
          <w:rtl w:val="0"/>
        </w:rPr>
        <w:t xml:space="preserve">"Certificado UJA en Competencias Internacionales"</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y la regulación de los requisitos, vías de acreditación y el procedimiento para su obtención por parte del estudiantado matriculado en titulaciones oficiales de </w:t>
      </w:r>
      <w:r w:rsidDel="00000000" w:rsidR="00000000" w:rsidRPr="00000000">
        <w:rPr>
          <w:rFonts w:ascii="Century Gothic" w:cs="Century Gothic" w:eastAsia="Century Gothic" w:hAnsi="Century Gothic"/>
          <w:color w:val="1f1f1f"/>
          <w:sz w:val="20"/>
          <w:szCs w:val="20"/>
          <w:rtl w:val="0"/>
        </w:rPr>
        <w:t xml:space="preserve">g</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rado en la Universidad de Jaén.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i w:val="0"/>
          <w:iCs w:val="0"/>
          <w:smallCaps w:val="0"/>
          <w:strike w:val="0"/>
          <w:color w:val="1f1f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595959"/>
          <w:sz w:val="20"/>
          <w:szCs w:val="20"/>
          <w:u w:val="none"/>
          <w:shd w:fill="auto" w:val="clear"/>
          <w:vertAlign w:val="baseline"/>
          <w:rtl w:val="0"/>
        </w:rPr>
        <w:t xml:space="preserve">Artículo 2. Requisitos para la obtención del Certificado</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color w:val="1f1f1f"/>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El estudiant</w:t>
      </w:r>
      <w:r w:rsidDel="00000000" w:rsidR="00000000" w:rsidRPr="00000000">
        <w:rPr>
          <w:rFonts w:ascii="Century Gothic" w:cs="Century Gothic" w:eastAsia="Century Gothic" w:hAnsi="Century Gothic"/>
          <w:color w:val="1f1f1f"/>
          <w:sz w:val="20"/>
          <w:szCs w:val="20"/>
          <w:rtl w:val="0"/>
        </w:rPr>
        <w:t xml:space="preserve">ado</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que desee obtener el Certificado UJA en Competencias Internacionales deberá acreditar el cumplimiento de los siguientes tres bloques de requisitos durante su etapa universitaria, los cuales se desarrollarán en el marco de su titulación: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1f1f1f"/>
          <w:sz w:val="20"/>
          <w:szCs w:val="20"/>
          <w:u w:val="none"/>
          <w:shd w:fill="auto" w:val="clear"/>
          <w:vertAlign w:val="baseline"/>
          <w:rtl w:val="0"/>
        </w:rPr>
        <w:t xml:space="preserve">Docencia en lenguas extranjeras y capacitación lingüística:</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50" w:before="0" w:line="240" w:lineRule="auto"/>
        <w:ind w:left="1440" w:right="0" w:hanging="36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Acreditar un nivel B2 o superior en lengua inglesa a través de certificaciones oficiales </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reconocidas</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(seg</w:t>
      </w:r>
      <w:r w:rsidDel="00000000" w:rsidR="00000000" w:rsidRPr="00000000">
        <w:rPr>
          <w:rFonts w:ascii="Century Gothic" w:cs="Century Gothic" w:eastAsia="Century Gothic" w:hAnsi="Century Gothic"/>
          <w:color w:val="1f1f1f"/>
          <w:sz w:val="20"/>
          <w:szCs w:val="20"/>
          <w:rtl w:val="0"/>
        </w:rPr>
        <w:t xml:space="preserve">ún la tabla de certificados oficiales aceptados por la Universidad de Jaén para la acreditación de lenguas extranjeras y su correspondencia en el Marco común europeo de referencia para las lenguas</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50" w:before="0" w:line="240" w:lineRule="auto"/>
        <w:ind w:left="1440" w:right="0" w:hanging="36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Superar un mínimo de 18 créditos ECTS correspondientes a asignaturas de su plan de estudios impartidas en lengua extranjera*.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1080" w:right="0" w:firstLine="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*En el caso de titulaciones sin oferta suficiente en lengua extranjera, podrán sustituirse </w:t>
      </w:r>
      <w:r w:rsidDel="00000000" w:rsidR="00000000" w:rsidRPr="00000000">
        <w:rPr>
          <w:rFonts w:ascii="Century Gothic" w:cs="Century Gothic" w:eastAsia="Century Gothic" w:hAnsi="Century Gothic"/>
          <w:color w:val="1f1f1f"/>
          <w:sz w:val="20"/>
          <w:szCs w:val="20"/>
          <w:rtl w:val="0"/>
        </w:rPr>
        <w:t xml:space="preserve">l</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os créditos ECTS que no se puedan cursar en otro idioma por la participación en hasta 3 Programas Intensivos Combinados (con o sin movilidad física), y/o la participación en cursos de idioma extranjero </w:t>
      </w:r>
      <w:r w:rsidDel="00000000" w:rsidR="00000000" w:rsidRPr="00000000">
        <w:rPr>
          <w:rFonts w:ascii="Century Gothic" w:cs="Century Gothic" w:eastAsia="Century Gothic" w:hAnsi="Century Gothic"/>
          <w:sz w:val="20"/>
          <w:szCs w:val="20"/>
          <w:rtl w:val="0"/>
        </w:rPr>
        <w:t xml:space="preserve">distinto del inglés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con certificado de aprovechamiento ofertados por el CEALM o las instituciones de la Alianza NEOLAiA. En cualquier caso, deber</w:t>
      </w:r>
      <w:r w:rsidDel="00000000" w:rsidR="00000000" w:rsidRPr="00000000">
        <w:rPr>
          <w:rFonts w:ascii="Century Gothic" w:cs="Century Gothic" w:eastAsia="Century Gothic" w:hAnsi="Century Gothic"/>
          <w:color w:val="1f1f1f"/>
          <w:sz w:val="20"/>
          <w:szCs w:val="20"/>
          <w:rtl w:val="0"/>
        </w:rPr>
        <w:t xml:space="preserve">á justificarse una formación equivalente a 18 créditos entre asignaturas, BIPs y cursos de idiomas.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1f1f1f"/>
          <w:sz w:val="20"/>
          <w:szCs w:val="20"/>
          <w:u w:val="none"/>
          <w:shd w:fill="auto" w:val="clear"/>
          <w:vertAlign w:val="baseline"/>
          <w:rtl w:val="0"/>
        </w:rPr>
        <w:t xml:space="preserve">Experiencia Internacional:</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50" w:before="0" w:line="240" w:lineRule="auto"/>
        <w:ind w:left="1440" w:right="0" w:hanging="36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Haber completado una movilidad internacional de estudios o pr</w:t>
      </w:r>
      <w:r w:rsidDel="00000000" w:rsidR="00000000" w:rsidRPr="00000000">
        <w:rPr>
          <w:rFonts w:ascii="Century Gothic" w:cs="Century Gothic" w:eastAsia="Century Gothic" w:hAnsi="Century Gothic"/>
          <w:color w:val="1f1f1f"/>
          <w:sz w:val="20"/>
          <w:szCs w:val="20"/>
          <w:rtl w:val="0"/>
        </w:rPr>
        <w:t xml:space="preserve">ácticas</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al amparo de alguno de los siguientes programas de intercambio: </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Erasmus+ KA131 Estudios</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Erasmus+ KA171 Estudios</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UJA Global </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Erasmus+ KA131 Prácticas </w:t>
      </w:r>
      <w:r w:rsidDel="00000000" w:rsidR="00000000" w:rsidRPr="00000000">
        <w:rPr>
          <w:rFonts w:ascii="Century Gothic" w:cs="Century Gothic" w:eastAsia="Century Gothic" w:hAnsi="Century Gothic"/>
          <w:color w:val="1f1f1f"/>
          <w:sz w:val="20"/>
          <w:szCs w:val="20"/>
          <w:rtl w:val="0"/>
        </w:rPr>
        <w:t xml:space="preserve">(al menos 1 mes de prácticas)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Erasmus+ KA131 BIPs (al menos </w:t>
      </w:r>
      <w:r w:rsidDel="00000000" w:rsidR="00000000" w:rsidRPr="00000000">
        <w:rPr>
          <w:rFonts w:ascii="Century Gothic" w:cs="Century Gothic" w:eastAsia="Century Gothic" w:hAnsi="Century Gothic"/>
          <w:color w:val="1f1f1f"/>
          <w:sz w:val="20"/>
          <w:szCs w:val="20"/>
          <w:rtl w:val="0"/>
        </w:rPr>
        <w:t xml:space="preserve">4</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participaciones con componentes de movilidad saliente física, </w:t>
      </w:r>
      <w:r w:rsidDel="00000000" w:rsidR="00000000" w:rsidRPr="00000000">
        <w:rPr>
          <w:rFonts w:ascii="Century Gothic" w:cs="Century Gothic" w:eastAsia="Century Gothic" w:hAnsi="Century Gothic"/>
          <w:color w:val="1f1f1f"/>
          <w:sz w:val="20"/>
          <w:szCs w:val="20"/>
          <w:rtl w:val="0"/>
        </w:rPr>
        <w:t xml:space="preserve">que no hayan sido usados en </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el bloque 1).</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1f1f1f"/>
          <w:sz w:val="20"/>
          <w:szCs w:val="20"/>
          <w:u w:val="none"/>
          <w:shd w:fill="auto" w:val="clear"/>
          <w:vertAlign w:val="baseline"/>
          <w:rtl w:val="0"/>
        </w:rPr>
        <w:t xml:space="preserve">Competencia Intercultural e Internacionalización en Casa:</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50" w:before="0" w:line="240" w:lineRule="auto"/>
        <w:ind w:left="1440" w:right="0" w:hanging="36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Completar con éxito y obtener evaluación positiva, cuando </w:t>
      </w:r>
      <w:r w:rsidDel="00000000" w:rsidR="00000000" w:rsidRPr="00000000">
        <w:rPr>
          <w:rFonts w:ascii="Century Gothic" w:cs="Century Gothic" w:eastAsia="Century Gothic" w:hAnsi="Century Gothic"/>
          <w:color w:val="1f1f1f"/>
          <w:sz w:val="20"/>
          <w:szCs w:val="20"/>
          <w:rtl w:val="0"/>
        </w:rPr>
        <w:t xml:space="preserve">corresponda,</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en, al menos, una de las siguientes actividades de internacionalización dentro de la comunidad universitaria:</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1f1f1f"/>
          <w:sz w:val="20"/>
          <w:szCs w:val="20"/>
          <w:u w:val="none"/>
          <w:shd w:fill="auto" w:val="clear"/>
          <w:vertAlign w:val="baseline"/>
          <w:rtl w:val="0"/>
        </w:rPr>
        <w:t xml:space="preserve">Buddy Programme UJA:</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Ejercer como mentor/a, tutorizando y apoyando la integración de estudiantes internacionales entrantes durante al menos un c</w:t>
      </w:r>
      <w:r w:rsidDel="00000000" w:rsidR="00000000" w:rsidRPr="00000000">
        <w:rPr>
          <w:rFonts w:ascii="Century Gothic" w:cs="Century Gothic" w:eastAsia="Century Gothic" w:hAnsi="Century Gothic"/>
          <w:color w:val="1f1f1f"/>
          <w:sz w:val="20"/>
          <w:szCs w:val="20"/>
          <w:rtl w:val="0"/>
        </w:rPr>
        <w:t xml:space="preserve">urso académico</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1f1f1f"/>
          <w:sz w:val="20"/>
          <w:szCs w:val="20"/>
          <w:u w:val="none"/>
          <w:shd w:fill="auto" w:val="clear"/>
          <w:vertAlign w:val="baseline"/>
          <w:rtl w:val="0"/>
        </w:rPr>
        <w:t xml:space="preserve">Proyectos COIL (</w:t>
      </w:r>
      <w:r w:rsidDel="00000000" w:rsidR="00000000" w:rsidRPr="00000000">
        <w:rPr>
          <w:rFonts w:ascii="Century Gothic" w:cs="Century Gothic" w:eastAsia="Century Gothic" w:hAnsi="Century Gothic"/>
          <w:b w:val="1"/>
          <w:bCs w:val="1"/>
          <w:i w:val="1"/>
          <w:iCs w:val="1"/>
          <w:smallCaps w:val="0"/>
          <w:strike w:val="0"/>
          <w:color w:val="1f1f1f"/>
          <w:sz w:val="20"/>
          <w:szCs w:val="20"/>
          <w:u w:val="none"/>
          <w:shd w:fill="auto" w:val="clear"/>
          <w:vertAlign w:val="baseline"/>
          <w:rtl w:val="0"/>
        </w:rPr>
        <w:t xml:space="preserve">Collaborative Online International Learning</w:t>
      </w:r>
      <w:r w:rsidDel="00000000" w:rsidR="00000000" w:rsidRPr="00000000">
        <w:rPr>
          <w:rFonts w:ascii="Century Gothic" w:cs="Century Gothic" w:eastAsia="Century Gothic" w:hAnsi="Century Gothic"/>
          <w:b w:val="1"/>
          <w:bCs w:val="1"/>
          <w:i w:val="0"/>
          <w:iCs w:val="0"/>
          <w:smallCaps w:val="0"/>
          <w:strike w:val="0"/>
          <w:color w:val="1f1f1f"/>
          <w:sz w:val="20"/>
          <w:szCs w:val="20"/>
          <w:u w:val="none"/>
          <w:shd w:fill="auto" w:val="clear"/>
          <w:vertAlign w:val="baseline"/>
          <w:rtl w:val="0"/>
        </w:rPr>
        <w:t xml:space="preserve">):</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Participar en experiencia colaborativa de enseñanza-aprendizaje con universidades extranjeras integradas en las asignaturas regulares (al menos de 5 horas).</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1f1f1f"/>
          <w:sz w:val="20"/>
          <w:szCs w:val="20"/>
          <w:u w:val="none"/>
          <w:shd w:fill="auto" w:val="clear"/>
          <w:vertAlign w:val="baseline"/>
          <w:rtl w:val="0"/>
        </w:rPr>
        <w:t xml:space="preserve">Alianza NEOLAIA:</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Participar en alguna de las siguientes iniciativas formativas de la alianza orientadas a favorecer el impulso de los objetivos e hitos de la Alianza NEOLAIA</w:t>
      </w:r>
      <w:r w:rsidDel="00000000" w:rsidR="00000000" w:rsidRPr="00000000">
        <w:rPr>
          <w:rFonts w:ascii="Century Gothic" w:cs="Century Gothic" w:eastAsia="Century Gothic" w:hAnsi="Century Gothic"/>
          <w:color w:val="1f1f1f"/>
          <w:sz w:val="20"/>
          <w:szCs w:val="20"/>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Century Gothic" w:cs="Century Gothic" w:eastAsia="Century Gothic" w:hAnsi="Century Gothic"/>
          <w:color w:val="1f1f1f"/>
          <w:sz w:val="20"/>
          <w:szCs w:val="20"/>
          <w:u w:val="none"/>
        </w:rPr>
      </w:pPr>
      <w:r w:rsidDel="00000000" w:rsidR="00000000" w:rsidRPr="00000000">
        <w:rPr>
          <w:rFonts w:ascii="Century Gothic" w:cs="Century Gothic" w:eastAsia="Century Gothic" w:hAnsi="Century Gothic"/>
          <w:color w:val="1f1f1f"/>
          <w:sz w:val="20"/>
          <w:szCs w:val="20"/>
          <w:rtl w:val="0"/>
        </w:rPr>
        <w:t xml:space="preserve">Participación en una Summer School dentro del seno de la Alianza.</w:t>
      </w:r>
    </w:p>
    <w:p w:rsidR="00000000" w:rsidDel="00000000" w:rsidP="00000000" w:rsidRDefault="00000000" w:rsidRPr="00000000" w14:paraId="0000002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Century Gothic" w:cs="Century Gothic" w:eastAsia="Century Gothic" w:hAnsi="Century Gothic"/>
          <w:color w:val="1f1f1f"/>
          <w:sz w:val="20"/>
          <w:szCs w:val="20"/>
          <w:u w:val="none"/>
        </w:rPr>
      </w:pPr>
      <w:r w:rsidDel="00000000" w:rsidR="00000000" w:rsidRPr="00000000">
        <w:rPr>
          <w:rFonts w:ascii="Century Gothic" w:cs="Century Gothic" w:eastAsia="Century Gothic" w:hAnsi="Century Gothic"/>
          <w:color w:val="1f1f1f"/>
          <w:sz w:val="20"/>
          <w:szCs w:val="20"/>
          <w:rtl w:val="0"/>
        </w:rPr>
        <w:t xml:space="preserve">Participación en un Focus Academy course.</w:t>
      </w:r>
    </w:p>
    <w:p w:rsidR="00000000" w:rsidDel="00000000" w:rsidP="00000000" w:rsidRDefault="00000000" w:rsidRPr="00000000" w14:paraId="0000002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Century Gothic" w:cs="Century Gothic" w:eastAsia="Century Gothic" w:hAnsi="Century Gothic"/>
          <w:color w:val="1f1f1f"/>
          <w:sz w:val="20"/>
          <w:szCs w:val="20"/>
          <w:u w:val="none"/>
        </w:rPr>
      </w:pPr>
      <w:r w:rsidDel="00000000" w:rsidR="00000000" w:rsidRPr="00000000">
        <w:rPr>
          <w:rFonts w:ascii="Century Gothic" w:cs="Century Gothic" w:eastAsia="Century Gothic" w:hAnsi="Century Gothic"/>
          <w:color w:val="1f1f1f"/>
          <w:sz w:val="20"/>
          <w:szCs w:val="20"/>
          <w:rtl w:val="0"/>
        </w:rPr>
        <w:t xml:space="preserve">Participación en un proyecto de NEOTeAch en colaboración con alumnado de otra universidad NEOLAiA en la co-creación de un producto de aprendizaje audiovisual bilingüe.</w:t>
      </w:r>
    </w:p>
    <w:p w:rsidR="00000000" w:rsidDel="00000000" w:rsidP="00000000" w:rsidRDefault="00000000" w:rsidRPr="00000000" w14:paraId="0000002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Century Gothic" w:cs="Century Gothic" w:eastAsia="Century Gothic" w:hAnsi="Century Gothic"/>
          <w:color w:val="1f1f1f"/>
          <w:sz w:val="20"/>
          <w:szCs w:val="20"/>
          <w:u w:val="none"/>
        </w:rPr>
      </w:pPr>
      <w:r w:rsidDel="00000000" w:rsidR="00000000" w:rsidRPr="00000000">
        <w:rPr>
          <w:rFonts w:ascii="Century Gothic" w:cs="Century Gothic" w:eastAsia="Century Gothic" w:hAnsi="Century Gothic"/>
          <w:color w:val="1f1f1f"/>
          <w:sz w:val="20"/>
          <w:szCs w:val="20"/>
          <w:rtl w:val="0"/>
        </w:rPr>
        <w:t xml:space="preserve">Participación acreditada en al menos 5 NEOlife events.</w:t>
      </w:r>
    </w:p>
    <w:p w:rsidR="00000000" w:rsidDel="00000000" w:rsidP="00000000" w:rsidRDefault="00000000" w:rsidRPr="00000000" w14:paraId="0000002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Century Gothic" w:cs="Century Gothic" w:eastAsia="Century Gothic" w:hAnsi="Century Gothic"/>
          <w:color w:val="1f1f1f"/>
          <w:sz w:val="20"/>
          <w:szCs w:val="20"/>
          <w:u w:val="none"/>
        </w:rPr>
      </w:pPr>
      <w:r w:rsidDel="00000000" w:rsidR="00000000" w:rsidRPr="00000000">
        <w:rPr>
          <w:rFonts w:ascii="Century Gothic" w:cs="Century Gothic" w:eastAsia="Century Gothic" w:hAnsi="Century Gothic"/>
          <w:color w:val="1f1f1f"/>
          <w:sz w:val="20"/>
          <w:szCs w:val="20"/>
          <w:rtl w:val="0"/>
        </w:rPr>
        <w:t xml:space="preserve">Participación acreditada en al menos 5 webinars organizados por el Pedagogical Hub.</w:t>
      </w:r>
    </w:p>
    <w:p w:rsidR="00000000" w:rsidDel="00000000" w:rsidP="00000000" w:rsidRDefault="00000000" w:rsidRPr="00000000" w14:paraId="0000002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Century Gothic" w:cs="Century Gothic" w:eastAsia="Century Gothic" w:hAnsi="Century Gothic"/>
          <w:color w:val="1f1f1f"/>
          <w:sz w:val="20"/>
          <w:szCs w:val="20"/>
          <w:u w:val="none"/>
        </w:rPr>
      </w:pPr>
      <w:r w:rsidDel="00000000" w:rsidR="00000000" w:rsidRPr="00000000">
        <w:rPr>
          <w:rFonts w:ascii="Century Gothic" w:cs="Century Gothic" w:eastAsia="Century Gothic" w:hAnsi="Century Gothic"/>
          <w:color w:val="1f1f1f"/>
          <w:sz w:val="20"/>
          <w:szCs w:val="20"/>
          <w:rtl w:val="0"/>
        </w:rPr>
        <w:t xml:space="preserve">Participación acreditada en al menos 5 webinars del programa Entrepre-stars.</w:t>
      </w:r>
    </w:p>
    <w:p w:rsidR="00000000" w:rsidDel="00000000" w:rsidP="00000000" w:rsidRDefault="00000000" w:rsidRPr="00000000" w14:paraId="0000002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Century Gothic" w:cs="Century Gothic" w:eastAsia="Century Gothic" w:hAnsi="Century Gothic"/>
          <w:color w:val="1f1f1f"/>
          <w:sz w:val="20"/>
          <w:szCs w:val="20"/>
          <w:u w:val="none"/>
        </w:rPr>
      </w:pPr>
      <w:r w:rsidDel="00000000" w:rsidR="00000000" w:rsidRPr="00000000">
        <w:rPr>
          <w:rFonts w:ascii="Century Gothic" w:cs="Century Gothic" w:eastAsia="Century Gothic" w:hAnsi="Century Gothic"/>
          <w:color w:val="1f1f1f"/>
          <w:sz w:val="20"/>
          <w:szCs w:val="20"/>
          <w:rtl w:val="0"/>
        </w:rPr>
        <w:t xml:space="preserve">Participación en el SUMA BAC, SUMA MAST o SUMA DOC.</w:t>
      </w:r>
    </w:p>
    <w:p w:rsidR="00000000" w:rsidDel="00000000" w:rsidP="00000000" w:rsidRDefault="00000000" w:rsidRPr="00000000" w14:paraId="0000003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Century Gothic" w:cs="Century Gothic" w:eastAsia="Century Gothic" w:hAnsi="Century Gothic"/>
          <w:color w:val="1f1f1f"/>
          <w:sz w:val="20"/>
          <w:szCs w:val="20"/>
          <w:u w:val="none"/>
        </w:rPr>
      </w:pPr>
      <w:r w:rsidDel="00000000" w:rsidR="00000000" w:rsidRPr="00000000">
        <w:rPr>
          <w:rFonts w:ascii="Century Gothic" w:cs="Century Gothic" w:eastAsia="Century Gothic" w:hAnsi="Century Gothic"/>
          <w:color w:val="1f1f1f"/>
          <w:sz w:val="20"/>
          <w:szCs w:val="20"/>
          <w:rtl w:val="0"/>
        </w:rPr>
        <w:t xml:space="preserve">Participación en el programa D&amp;I Mentors.</w:t>
      </w:r>
    </w:p>
    <w:p w:rsidR="00000000" w:rsidDel="00000000" w:rsidP="00000000" w:rsidRDefault="00000000" w:rsidRPr="00000000" w14:paraId="0000003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Century Gothic" w:cs="Century Gothic" w:eastAsia="Century Gothic" w:hAnsi="Century Gothic"/>
          <w:color w:val="1f1f1f"/>
          <w:sz w:val="20"/>
          <w:szCs w:val="20"/>
          <w:u w:val="none"/>
        </w:rPr>
      </w:pPr>
      <w:r w:rsidDel="00000000" w:rsidR="00000000" w:rsidRPr="00000000">
        <w:rPr>
          <w:rFonts w:ascii="Century Gothic" w:cs="Century Gothic" w:eastAsia="Century Gothic" w:hAnsi="Century Gothic"/>
          <w:color w:val="1f1f1f"/>
          <w:sz w:val="20"/>
          <w:szCs w:val="20"/>
          <w:rtl w:val="0"/>
        </w:rPr>
        <w:t xml:space="preserve">Participación en el programa de ESR.</w:t>
      </w:r>
    </w:p>
    <w:p w:rsidR="00000000" w:rsidDel="00000000" w:rsidP="00000000" w:rsidRDefault="00000000" w:rsidRPr="00000000" w14:paraId="0000003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Century Gothic" w:cs="Century Gothic" w:eastAsia="Century Gothic" w:hAnsi="Century Gothic"/>
          <w:color w:val="1f1f1f"/>
          <w:sz w:val="20"/>
          <w:szCs w:val="20"/>
          <w:u w:val="none"/>
        </w:rPr>
      </w:pPr>
      <w:r w:rsidDel="00000000" w:rsidR="00000000" w:rsidRPr="00000000">
        <w:rPr>
          <w:rFonts w:ascii="Century Gothic" w:cs="Century Gothic" w:eastAsia="Century Gothic" w:hAnsi="Century Gothic"/>
          <w:color w:val="1f1f1f"/>
          <w:sz w:val="20"/>
          <w:szCs w:val="20"/>
          <w:rtl w:val="0"/>
        </w:rPr>
        <w:t xml:space="preserve">Participación en el programa LAEP.</w:t>
      </w:r>
    </w:p>
    <w:p w:rsidR="00000000" w:rsidDel="00000000" w:rsidP="00000000" w:rsidRDefault="00000000" w:rsidRPr="00000000" w14:paraId="0000003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Century Gothic" w:cs="Century Gothic" w:eastAsia="Century Gothic" w:hAnsi="Century Gothic"/>
          <w:color w:val="1f1f1f"/>
          <w:sz w:val="20"/>
          <w:szCs w:val="20"/>
          <w:u w:val="none"/>
        </w:rPr>
      </w:pPr>
      <w:r w:rsidDel="00000000" w:rsidR="00000000" w:rsidRPr="00000000">
        <w:rPr>
          <w:rFonts w:ascii="Century Gothic" w:cs="Century Gothic" w:eastAsia="Century Gothic" w:hAnsi="Century Gothic"/>
          <w:color w:val="1f1f1f"/>
          <w:sz w:val="20"/>
          <w:szCs w:val="20"/>
          <w:rtl w:val="0"/>
        </w:rPr>
        <w:t xml:space="preserve">Participación en el programa LACE.</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1f1f1f"/>
          <w:sz w:val="20"/>
          <w:szCs w:val="20"/>
          <w:u w:val="none"/>
          <w:shd w:fill="auto" w:val="clear"/>
          <w:vertAlign w:val="baseline"/>
          <w:rtl w:val="0"/>
        </w:rPr>
        <w:t xml:space="preserve">Acreditación de un segundo idioma</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Acreditar un nivel B1 o superior en lengua extranjera no inglesa a través de certificaciones oficiales reconocida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i w:val="0"/>
          <w:iCs w:val="0"/>
          <w:smallCaps w:val="0"/>
          <w:strike w:val="0"/>
          <w:color w:val="1f1f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spacing w:after="0" w:line="240" w:lineRule="auto"/>
        <w:jc w:val="both"/>
        <w:rPr>
          <w:rFonts w:ascii="Century Gothic" w:cs="Century Gothic" w:eastAsia="Century Gothic" w:hAnsi="Century Gothic"/>
          <w:b w:val="1"/>
          <w:bCs w:val="1"/>
          <w:color w:val="595959"/>
          <w:sz w:val="20"/>
          <w:szCs w:val="20"/>
        </w:rPr>
      </w:pPr>
      <w:r w:rsidDel="00000000" w:rsidR="00000000" w:rsidRPr="00000000">
        <w:rPr>
          <w:rFonts w:ascii="Century Gothic" w:cs="Century Gothic" w:eastAsia="Century Gothic" w:hAnsi="Century Gothic"/>
          <w:b w:val="1"/>
          <w:bCs w:val="1"/>
          <w:color w:val="595959"/>
          <w:sz w:val="20"/>
          <w:szCs w:val="20"/>
          <w:rtl w:val="0"/>
        </w:rPr>
        <w:t xml:space="preserve">Artículo 3. Sobre la información contenida en el certificado</w:t>
      </w:r>
    </w:p>
    <w:p w:rsidR="00000000" w:rsidDel="00000000" w:rsidP="00000000" w:rsidRDefault="00000000" w:rsidRPr="00000000" w14:paraId="00000038">
      <w:pPr>
        <w:numPr>
          <w:ilvl w:val="0"/>
          <w:numId w:val="3"/>
        </w:numPr>
        <w:spacing w:after="150" w:line="240" w:lineRule="auto"/>
        <w:ind w:left="720" w:hanging="360"/>
        <w:jc w:val="both"/>
        <w:rPr>
          <w:rFonts w:ascii="Century Gothic" w:cs="Century Gothic" w:eastAsia="Century Gothic" w:hAnsi="Century Gothic"/>
          <w:color w:val="1f1f1f"/>
        </w:rPr>
      </w:pPr>
      <w:r w:rsidDel="00000000" w:rsidR="00000000" w:rsidRPr="00000000">
        <w:rPr>
          <w:rFonts w:ascii="Century Gothic" w:cs="Century Gothic" w:eastAsia="Century Gothic" w:hAnsi="Century Gothic"/>
          <w:color w:val="1f1f1f"/>
          <w:sz w:val="20"/>
          <w:szCs w:val="20"/>
          <w:rtl w:val="0"/>
        </w:rPr>
        <w:t xml:space="preserve">El certificado podrá contener información sobre las actividades realizadas por parte </w:t>
      </w:r>
      <w:r w:rsidDel="00000000" w:rsidR="00000000" w:rsidRPr="00000000">
        <w:rPr>
          <w:rFonts w:ascii="Century Gothic" w:cs="Century Gothic" w:eastAsia="Century Gothic" w:hAnsi="Century Gothic"/>
          <w:color w:val="1f1f1f"/>
          <w:sz w:val="20"/>
          <w:szCs w:val="20"/>
          <w:rtl w:val="0"/>
        </w:rPr>
        <w:t xml:space="preserve">del estudiant</w:t>
      </w:r>
      <w:r w:rsidDel="00000000" w:rsidR="00000000" w:rsidRPr="00000000">
        <w:rPr>
          <w:rFonts w:ascii="Century Gothic" w:cs="Century Gothic" w:eastAsia="Century Gothic" w:hAnsi="Century Gothic"/>
          <w:color w:val="1f1f1f"/>
          <w:sz w:val="20"/>
          <w:szCs w:val="20"/>
          <w:rtl w:val="0"/>
        </w:rPr>
        <w:t xml:space="preserve">ado, así como una descripción general de las capacidades  o competencias potencialmente adquiridas con la realización de este tipo de actividades. En concreto estas incluyen: </w:t>
      </w:r>
    </w:p>
    <w:p w:rsidR="00000000" w:rsidDel="00000000" w:rsidP="00000000" w:rsidRDefault="00000000" w:rsidRPr="00000000" w14:paraId="00000039">
      <w:pPr>
        <w:numPr>
          <w:ilvl w:val="1"/>
          <w:numId w:val="3"/>
        </w:numPr>
        <w:spacing w:after="150" w:line="240" w:lineRule="auto"/>
        <w:ind w:left="1440" w:hanging="360"/>
        <w:jc w:val="both"/>
        <w:rPr>
          <w:rFonts w:ascii="Century Gothic" w:cs="Century Gothic" w:eastAsia="Century Gothic" w:hAnsi="Century Gothic"/>
          <w:color w:val="1f1f1f"/>
        </w:rPr>
      </w:pPr>
      <w:r w:rsidDel="00000000" w:rsidR="00000000" w:rsidRPr="00000000">
        <w:rPr>
          <w:rFonts w:ascii="Century Gothic" w:cs="Century Gothic" w:eastAsia="Century Gothic" w:hAnsi="Century Gothic"/>
          <w:color w:val="1f1f1f"/>
          <w:sz w:val="20"/>
          <w:szCs w:val="20"/>
          <w:rtl w:val="0"/>
        </w:rPr>
        <w:t xml:space="preserve">Capacidad para comunicarse con fluidez en entornos académicos en lengua inglesa, y con la fluidez necesaria para comunicarse sin esfuerzo con hablantes nativos (esto último es aplicable también en el caso de aportar un nivel B1 en un segunda lengua extranjera), </w:t>
      </w:r>
    </w:p>
    <w:p w:rsidR="00000000" w:rsidDel="00000000" w:rsidP="00000000" w:rsidRDefault="00000000" w:rsidRPr="00000000" w14:paraId="0000003A">
      <w:pPr>
        <w:numPr>
          <w:ilvl w:val="1"/>
          <w:numId w:val="3"/>
        </w:numPr>
        <w:spacing w:after="150" w:line="240" w:lineRule="auto"/>
        <w:ind w:left="1440" w:hanging="360"/>
        <w:jc w:val="both"/>
        <w:rPr>
          <w:rFonts w:ascii="Century Gothic" w:cs="Century Gothic" w:eastAsia="Century Gothic" w:hAnsi="Century Gothic"/>
          <w:color w:val="1f1f1f"/>
        </w:rPr>
      </w:pPr>
      <w:r w:rsidDel="00000000" w:rsidR="00000000" w:rsidRPr="00000000">
        <w:rPr>
          <w:rFonts w:ascii="Century Gothic" w:cs="Century Gothic" w:eastAsia="Century Gothic" w:hAnsi="Century Gothic"/>
          <w:color w:val="1f1f1f"/>
          <w:sz w:val="20"/>
          <w:szCs w:val="20"/>
          <w:rtl w:val="0"/>
        </w:rPr>
        <w:t xml:space="preserve">Capacidad para manejarse con eficacia en situaciones inciertas o entornos desconocidos (sistemas educativos y sociales diferentes al de origen), manteniendo una actitud positiva y resolutiva ante los imprevistos. </w:t>
      </w:r>
    </w:p>
    <w:p w:rsidR="00000000" w:rsidDel="00000000" w:rsidP="00000000" w:rsidRDefault="00000000" w:rsidRPr="00000000" w14:paraId="0000003B">
      <w:pPr>
        <w:numPr>
          <w:ilvl w:val="1"/>
          <w:numId w:val="3"/>
        </w:numPr>
        <w:spacing w:after="150" w:line="240" w:lineRule="auto"/>
        <w:ind w:left="1440" w:hanging="360"/>
        <w:jc w:val="both"/>
        <w:rPr>
          <w:rFonts w:ascii="Century Gothic" w:cs="Century Gothic" w:eastAsia="Century Gothic" w:hAnsi="Century Gothic"/>
          <w:color w:val="1f1f1f"/>
        </w:rPr>
      </w:pPr>
      <w:r w:rsidDel="00000000" w:rsidR="00000000" w:rsidRPr="00000000">
        <w:rPr>
          <w:rFonts w:ascii="Century Gothic" w:cs="Century Gothic" w:eastAsia="Century Gothic" w:hAnsi="Century Gothic"/>
          <w:color w:val="1f1f1f"/>
          <w:sz w:val="20"/>
          <w:szCs w:val="20"/>
          <w:rtl w:val="0"/>
        </w:rPr>
        <w:t xml:space="preserve">Capacidad para colaborar, crear y comunicarse en entornos internacionales, participando en el aprendizaje colaborativo con pares de diversas nacionalidades.</w:t>
      </w:r>
    </w:p>
    <w:p w:rsidR="00000000" w:rsidDel="00000000" w:rsidP="00000000" w:rsidRDefault="00000000" w:rsidRPr="00000000" w14:paraId="0000003C">
      <w:pPr>
        <w:numPr>
          <w:ilvl w:val="1"/>
          <w:numId w:val="3"/>
        </w:numPr>
        <w:spacing w:after="150" w:line="240" w:lineRule="auto"/>
        <w:ind w:left="1440" w:hanging="360"/>
        <w:jc w:val="both"/>
        <w:rPr>
          <w:rFonts w:ascii="Century Gothic" w:cs="Century Gothic" w:eastAsia="Century Gothic" w:hAnsi="Century Gothic"/>
          <w:color w:val="1f1f1f"/>
        </w:rPr>
      </w:pPr>
      <w:r w:rsidDel="00000000" w:rsidR="00000000" w:rsidRPr="00000000">
        <w:rPr>
          <w:rFonts w:ascii="Century Gothic" w:cs="Century Gothic" w:eastAsia="Century Gothic" w:hAnsi="Century Gothic"/>
          <w:color w:val="1f1f1f"/>
          <w:sz w:val="20"/>
          <w:szCs w:val="20"/>
          <w:rtl w:val="0"/>
        </w:rPr>
        <w:t xml:space="preserve">Capacidad para guiar a otros en procesos de integración, fomentando un clima de confianza y cooperación en grupos internacionales donde se valora la empatía.</w:t>
      </w:r>
    </w:p>
    <w:p w:rsidR="00000000" w:rsidDel="00000000" w:rsidP="00000000" w:rsidRDefault="00000000" w:rsidRPr="00000000" w14:paraId="0000003D">
      <w:pPr>
        <w:numPr>
          <w:ilvl w:val="1"/>
          <w:numId w:val="3"/>
        </w:numPr>
        <w:spacing w:after="150" w:line="240" w:lineRule="auto"/>
        <w:ind w:left="1440" w:hanging="360"/>
        <w:jc w:val="both"/>
        <w:rPr>
          <w:rFonts w:ascii="Century Gothic" w:cs="Century Gothic" w:eastAsia="Century Gothic" w:hAnsi="Century Gothic"/>
          <w:color w:val="1f1f1f"/>
        </w:rPr>
      </w:pPr>
      <w:r w:rsidDel="00000000" w:rsidR="00000000" w:rsidRPr="00000000">
        <w:rPr>
          <w:rFonts w:ascii="Century Gothic" w:cs="Century Gothic" w:eastAsia="Century Gothic" w:hAnsi="Century Gothic"/>
          <w:color w:val="1f1f1f"/>
          <w:sz w:val="20"/>
          <w:szCs w:val="20"/>
          <w:rtl w:val="0"/>
        </w:rPr>
        <w:t xml:space="preserve">Capacidad crítica para contrastar diferentes sistemas, comprender las dinámicas internacionales de su propia disciplina y prepararse proactivamente para el mercado laboral globalizado.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color w:val="595959"/>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595959"/>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595959"/>
          <w:sz w:val="20"/>
          <w:szCs w:val="20"/>
          <w:u w:val="none"/>
          <w:shd w:fill="auto" w:val="clear"/>
          <w:vertAlign w:val="baseline"/>
          <w:rtl w:val="0"/>
        </w:rPr>
        <w:t xml:space="preserve">Artículo </w:t>
      </w:r>
      <w:r w:rsidDel="00000000" w:rsidR="00000000" w:rsidRPr="00000000">
        <w:rPr>
          <w:rFonts w:ascii="Century Gothic" w:cs="Century Gothic" w:eastAsia="Century Gothic" w:hAnsi="Century Gothic"/>
          <w:b w:val="1"/>
          <w:bCs w:val="1"/>
          <w:color w:val="595959"/>
          <w:sz w:val="20"/>
          <w:szCs w:val="20"/>
          <w:rtl w:val="0"/>
        </w:rPr>
        <w:t xml:space="preserve">4</w:t>
      </w:r>
      <w:r w:rsidDel="00000000" w:rsidR="00000000" w:rsidRPr="00000000">
        <w:rPr>
          <w:rFonts w:ascii="Century Gothic" w:cs="Century Gothic" w:eastAsia="Century Gothic" w:hAnsi="Century Gothic"/>
          <w:b w:val="1"/>
          <w:bCs w:val="1"/>
          <w:i w:val="0"/>
          <w:iCs w:val="0"/>
          <w:smallCaps w:val="0"/>
          <w:strike w:val="0"/>
          <w:color w:val="595959"/>
          <w:sz w:val="20"/>
          <w:szCs w:val="20"/>
          <w:u w:val="none"/>
          <w:shd w:fill="auto" w:val="clear"/>
          <w:vertAlign w:val="baseline"/>
          <w:rtl w:val="0"/>
        </w:rPr>
        <w:t xml:space="preserve">. Procedimiento de solicitud y expedición del certificado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720" w:right="0" w:firstLine="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50" w:before="0" w:line="240" w:lineRule="auto"/>
        <w:ind w:left="720" w:right="0" w:hanging="36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Las solicitudes se podrán presentar, durante todo el curso acad</w:t>
      </w:r>
      <w:r w:rsidDel="00000000" w:rsidR="00000000" w:rsidRPr="00000000">
        <w:rPr>
          <w:rFonts w:ascii="Century Gothic" w:cs="Century Gothic" w:eastAsia="Century Gothic" w:hAnsi="Century Gothic"/>
          <w:color w:val="1f1f1f"/>
          <w:sz w:val="20"/>
          <w:szCs w:val="20"/>
          <w:rtl w:val="0"/>
        </w:rPr>
        <w:t xml:space="preserve">émico,</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a trav</w:t>
      </w:r>
      <w:r w:rsidDel="00000000" w:rsidR="00000000" w:rsidRPr="00000000">
        <w:rPr>
          <w:rFonts w:ascii="Century Gothic" w:cs="Century Gothic" w:eastAsia="Century Gothic" w:hAnsi="Century Gothic"/>
          <w:color w:val="1f1f1f"/>
          <w:sz w:val="20"/>
          <w:szCs w:val="20"/>
          <w:rtl w:val="0"/>
        </w:rPr>
        <w:t xml:space="preserve">és del procedimiento correspondiente que articule </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el Vicerrectorado competente en materia de Internacionalización y cuya informaci</w:t>
      </w:r>
      <w:r w:rsidDel="00000000" w:rsidR="00000000" w:rsidRPr="00000000">
        <w:rPr>
          <w:rFonts w:ascii="Century Gothic" w:cs="Century Gothic" w:eastAsia="Century Gothic" w:hAnsi="Century Gothic"/>
          <w:color w:val="1f1f1f"/>
          <w:sz w:val="20"/>
          <w:szCs w:val="20"/>
          <w:rtl w:val="0"/>
        </w:rPr>
        <w:t xml:space="preserve">ón se detallará en una página web específica</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50" w:before="0" w:line="240" w:lineRule="auto"/>
        <w:ind w:left="720" w:right="0" w:hanging="36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Este Vicerrectorado, a trav</w:t>
      </w:r>
      <w:r w:rsidDel="00000000" w:rsidR="00000000" w:rsidRPr="00000000">
        <w:rPr>
          <w:rFonts w:ascii="Century Gothic" w:cs="Century Gothic" w:eastAsia="Century Gothic" w:hAnsi="Century Gothic"/>
          <w:color w:val="1f1f1f"/>
          <w:sz w:val="20"/>
          <w:szCs w:val="20"/>
          <w:rtl w:val="0"/>
        </w:rPr>
        <w:t xml:space="preserve">és del Servicio con competencias en Relaciones Internacionales,</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 resolver</w:t>
      </w:r>
      <w:r w:rsidDel="00000000" w:rsidR="00000000" w:rsidRPr="00000000">
        <w:rPr>
          <w:rFonts w:ascii="Century Gothic" w:cs="Century Gothic" w:eastAsia="Century Gothic" w:hAnsi="Century Gothic"/>
          <w:color w:val="1f1f1f"/>
          <w:sz w:val="20"/>
          <w:szCs w:val="20"/>
          <w:rtl w:val="0"/>
        </w:rPr>
        <w:t xml:space="preserve">á periódicamente y </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expedirá la certificación con las actividades realizadas por cada estudiante.</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50" w:before="0" w:line="240" w:lineRule="auto"/>
        <w:ind w:left="720" w:right="0" w:hanging="36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El importe de la certificación será el establecido en la orden gubernamental competente por la que se fijan los precios públicos a satisfacer por la prestación de servicios académicos.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i w:val="0"/>
          <w:iCs w:val="0"/>
          <w:smallCaps w:val="0"/>
          <w:strike w:val="0"/>
          <w:color w:val="1f1f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i w:val="0"/>
          <w:iCs w:val="0"/>
          <w:smallCaps w:val="0"/>
          <w:strike w:val="0"/>
          <w:color w:val="595959"/>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595959"/>
          <w:sz w:val="20"/>
          <w:szCs w:val="20"/>
          <w:u w:val="none"/>
          <w:shd w:fill="auto" w:val="clear"/>
          <w:vertAlign w:val="baseline"/>
          <w:rtl w:val="0"/>
        </w:rPr>
        <w:t xml:space="preserve">Artículo </w:t>
      </w:r>
      <w:r w:rsidDel="00000000" w:rsidR="00000000" w:rsidRPr="00000000">
        <w:rPr>
          <w:rFonts w:ascii="Century Gothic" w:cs="Century Gothic" w:eastAsia="Century Gothic" w:hAnsi="Century Gothic"/>
          <w:b w:val="1"/>
          <w:bCs w:val="1"/>
          <w:color w:val="595959"/>
          <w:sz w:val="20"/>
          <w:szCs w:val="20"/>
          <w:rtl w:val="0"/>
        </w:rPr>
        <w:t xml:space="preserve">5</w:t>
      </w:r>
      <w:r w:rsidDel="00000000" w:rsidR="00000000" w:rsidRPr="00000000">
        <w:rPr>
          <w:rFonts w:ascii="Century Gothic" w:cs="Century Gothic" w:eastAsia="Century Gothic" w:hAnsi="Century Gothic"/>
          <w:b w:val="1"/>
          <w:bCs w:val="1"/>
          <w:i w:val="0"/>
          <w:iCs w:val="0"/>
          <w:smallCaps w:val="0"/>
          <w:strike w:val="0"/>
          <w:color w:val="595959"/>
          <w:sz w:val="20"/>
          <w:szCs w:val="20"/>
          <w:u w:val="none"/>
          <w:shd w:fill="auto" w:val="clear"/>
          <w:vertAlign w:val="baseline"/>
          <w:rtl w:val="0"/>
        </w:rPr>
        <w:t xml:space="preserve">. Incorporación al S</w:t>
      </w:r>
      <w:r w:rsidDel="00000000" w:rsidR="00000000" w:rsidRPr="00000000">
        <w:rPr>
          <w:rFonts w:ascii="Century Gothic" w:cs="Century Gothic" w:eastAsia="Century Gothic" w:hAnsi="Century Gothic"/>
          <w:b w:val="1"/>
          <w:bCs w:val="1"/>
          <w:color w:val="595959"/>
          <w:sz w:val="20"/>
          <w:szCs w:val="20"/>
          <w:rtl w:val="0"/>
        </w:rPr>
        <w:t xml:space="preserve">uplemento Europeo al Título (SET) y e</w:t>
      </w:r>
      <w:r w:rsidDel="00000000" w:rsidR="00000000" w:rsidRPr="00000000">
        <w:rPr>
          <w:rFonts w:ascii="Century Gothic" w:cs="Century Gothic" w:eastAsia="Century Gothic" w:hAnsi="Century Gothic"/>
          <w:b w:val="1"/>
          <w:bCs w:val="1"/>
          <w:i w:val="0"/>
          <w:iCs w:val="0"/>
          <w:smallCaps w:val="0"/>
          <w:strike w:val="0"/>
          <w:color w:val="595959"/>
          <w:sz w:val="20"/>
          <w:szCs w:val="20"/>
          <w:u w:val="none"/>
          <w:shd w:fill="auto" w:val="clear"/>
          <w:vertAlign w:val="baseline"/>
          <w:rtl w:val="0"/>
        </w:rPr>
        <w:t xml:space="preserve">xpediente académico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50" w:before="0" w:line="240" w:lineRule="auto"/>
        <w:ind w:left="720" w:right="0" w:hanging="36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color w:val="1f1f1f"/>
          <w:sz w:val="20"/>
          <w:szCs w:val="20"/>
          <w:rtl w:val="0"/>
        </w:rPr>
        <w:t xml:space="preserve">El </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Certificado UJA en Competencias Internacionales podr</w:t>
      </w:r>
      <w:r w:rsidDel="00000000" w:rsidR="00000000" w:rsidRPr="00000000">
        <w:rPr>
          <w:rFonts w:ascii="Century Gothic" w:cs="Century Gothic" w:eastAsia="Century Gothic" w:hAnsi="Century Gothic"/>
          <w:color w:val="1f1f1f"/>
          <w:sz w:val="20"/>
          <w:szCs w:val="20"/>
          <w:rtl w:val="0"/>
        </w:rPr>
        <w:t xml:space="preserve">á figurar </w:t>
      </w: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en el expediente académico personal de cada estudiante</w:t>
      </w: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así como en el Suplemento Europeo al Título. </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50" w:before="0" w:line="240" w:lineRule="auto"/>
        <w:ind w:left="720" w:right="0" w:hanging="360"/>
        <w:jc w:val="both"/>
        <w:rPr>
          <w:rFonts w:ascii="Century Gothic" w:cs="Century Gothic" w:eastAsia="Century Gothic" w:hAnsi="Century Gothic"/>
          <w:color w:val="1f1f1f"/>
          <w:sz w:val="20"/>
          <w:szCs w:val="20"/>
          <w:u w:val="none"/>
        </w:rPr>
      </w:pPr>
      <w:r w:rsidDel="00000000" w:rsidR="00000000" w:rsidRPr="00000000">
        <w:rPr>
          <w:rFonts w:ascii="Century Gothic" w:cs="Century Gothic" w:eastAsia="Century Gothic" w:hAnsi="Century Gothic"/>
          <w:color w:val="1f1f1f"/>
          <w:sz w:val="20"/>
          <w:szCs w:val="20"/>
          <w:rtl w:val="0"/>
        </w:rPr>
        <w:t xml:space="preserve">Dicha incorporación será realizada en el momento de solicitar el título y certificación académica por parte del </w:t>
      </w:r>
      <w:r w:rsidDel="00000000" w:rsidR="00000000" w:rsidRPr="00000000">
        <w:rPr>
          <w:rFonts w:ascii="Century Gothic" w:cs="Century Gothic" w:eastAsia="Century Gothic" w:hAnsi="Century Gothic"/>
          <w:color w:val="1f1f1f"/>
          <w:sz w:val="20"/>
          <w:szCs w:val="20"/>
          <w:rtl w:val="0"/>
        </w:rPr>
        <w:t xml:space="preserve">Servicio correspondiente con competencias en gestión académica y de </w:t>
      </w:r>
      <w:r w:rsidDel="00000000" w:rsidR="00000000" w:rsidRPr="00000000">
        <w:rPr>
          <w:rFonts w:ascii="Century Gothic" w:cs="Century Gothic" w:eastAsia="Century Gothic" w:hAnsi="Century Gothic"/>
          <w:color w:val="1f1f1f"/>
          <w:sz w:val="20"/>
          <w:szCs w:val="20"/>
          <w:rtl w:val="0"/>
        </w:rPr>
        <w:t xml:space="preserve">Gestión de las Enseñanzas. Para ello, es necesario que dicho certificado sea concedido mediante resolución correspondiente con fecha anterior a la solicitud de expedición del título.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i w:val="0"/>
          <w:iCs w:val="0"/>
          <w:smallCaps w:val="0"/>
          <w:strike w:val="0"/>
          <w:color w:val="1f1f1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i w:val="0"/>
          <w:iCs w:val="0"/>
          <w:smallCaps w:val="0"/>
          <w:strike w:val="0"/>
          <w:color w:val="595959"/>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595959"/>
          <w:sz w:val="20"/>
          <w:szCs w:val="20"/>
          <w:u w:val="none"/>
          <w:shd w:fill="auto" w:val="clear"/>
          <w:vertAlign w:val="baseline"/>
          <w:rtl w:val="0"/>
        </w:rPr>
        <w:t xml:space="preserve">Disposición Final. Entrada en Vigor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7f7f7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0" w:before="0" w:line="240" w:lineRule="auto"/>
        <w:ind w:left="720" w:right="0" w:hanging="360"/>
        <w:jc w:val="both"/>
        <w:rPr>
          <w:rFonts w:ascii="Century Gothic" w:cs="Century Gothic" w:eastAsia="Century Gothic" w:hAnsi="Century Gothic"/>
          <w:b w:val="0"/>
          <w:bCs w:val="0"/>
          <w:i w:val="0"/>
          <w:iCs w:val="0"/>
          <w:smallCaps w:val="0"/>
          <w:strike w:val="0"/>
          <w:color w:val="1f1f1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1f1f1f"/>
          <w:sz w:val="20"/>
          <w:szCs w:val="20"/>
          <w:u w:val="none"/>
          <w:shd w:fill="auto" w:val="clear"/>
          <w:vertAlign w:val="baseline"/>
          <w:rtl w:val="0"/>
        </w:rPr>
        <w:t xml:space="preserve">La presente instrucción entrará en vigor el día siguiente al de su publicación en el Boletín Oficial de la Universidad de Jaén (BOUJA).</w:t>
      </w:r>
    </w:p>
    <w:p w:rsidR="00000000" w:rsidDel="00000000" w:rsidP="00000000" w:rsidRDefault="00000000" w:rsidRPr="00000000" w14:paraId="0000004D">
      <w:pPr>
        <w:spacing w:after="120" w:lineRule="auto"/>
        <w:jc w:val="both"/>
        <w:rPr>
          <w:rFonts w:ascii="Century Gothic" w:cs="Century Gothic" w:eastAsia="Century Gothic" w:hAnsi="Century Gothic"/>
          <w:color w:val="1f1f1f"/>
          <w:sz w:val="20"/>
          <w:szCs w:val="20"/>
        </w:rPr>
      </w:pPr>
      <w:r w:rsidDel="00000000" w:rsidR="00000000" w:rsidRPr="00000000">
        <w:rPr>
          <w:rtl w:val="0"/>
        </w:rPr>
      </w:r>
    </w:p>
    <w:p w:rsidR="00000000" w:rsidDel="00000000" w:rsidP="00000000" w:rsidRDefault="00000000" w:rsidRPr="00000000" w14:paraId="0000004E">
      <w:pPr>
        <w:jc w:val="both"/>
        <w:rPr>
          <w:rFonts w:ascii="Century Gothic" w:cs="Century Gothic" w:eastAsia="Century Gothic" w:hAnsi="Century Gothic"/>
          <w:sz w:val="20"/>
          <w:szCs w:val="20"/>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spacing w:after="0" w:line="276" w:lineRule="auto"/>
      <w:ind w:left="-560" w:right="-560" w:firstLine="0"/>
      <w:jc w:val="center"/>
      <w:rPr/>
    </w:pPr>
    <w:r w:rsidDel="00000000" w:rsidR="00000000" w:rsidRPr="00000000">
      <w:rPr>
        <w:rFonts w:ascii="Century Gothic" w:cs="Century Gothic" w:eastAsia="Century Gothic" w:hAnsi="Century Gothic"/>
        <w:b w:val="1"/>
        <w:bCs w:val="1"/>
        <w:color w:val="666666"/>
        <w:sz w:val="26"/>
        <w:szCs w:val="26"/>
      </w:rPr>
      <w:drawing>
        <wp:inline distB="0" distT="0" distL="0" distR="0">
          <wp:extent cx="2633663" cy="825338"/>
          <wp:effectExtent b="0" l="0" r="0" t="0"/>
          <wp:docPr descr="D:\Datos de Usuario\UJA\Downloads\Logo_color_horizontal (1).png" id="4" name="image1.png"/>
          <a:graphic>
            <a:graphicData uri="http://schemas.openxmlformats.org/drawingml/2006/picture">
              <pic:pic>
                <pic:nvPicPr>
                  <pic:cNvPr descr="D:\Datos de Usuario\UJA\Downloads\Logo_color_horizontal (1).png" id="0" name="image1.png"/>
                  <pic:cNvPicPr preferRelativeResize="0"/>
                </pic:nvPicPr>
                <pic:blipFill>
                  <a:blip r:embed="rId1"/>
                  <a:srcRect b="0" l="0" r="0" t="0"/>
                  <a:stretch>
                    <a:fillRect/>
                  </a:stretch>
                </pic:blipFill>
                <pic:spPr>
                  <a:xfrm>
                    <a:off x="0" y="0"/>
                    <a:ext cx="2633663" cy="8253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lowerLetter"/>
      <w:lvlText w:val="%2."/>
      <w:lvlJc w:val="left"/>
      <w:pPr>
        <w:ind w:left="1440" w:hanging="360"/>
      </w:pPr>
      <w:rPr>
        <w:rFonts w:ascii="Century Gothic" w:cs="Century Gothic" w:eastAsia="Century Gothic" w:hAnsi="Century Gothic"/>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DC73AA"/>
    <w:pPr>
      <w:ind w:left="720"/>
      <w:contextualSpacing w:val="1"/>
    </w:p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table" w:styleId="a" w:customStyle="1">
    <w:basedOn w:val="TableNormal0"/>
    <w:tblPr>
      <w:tblStyleRowBandSize w:val="1"/>
      <w:tblStyleColBandSize w:val="1"/>
    </w:tblPr>
  </w:style>
  <w:style w:type="paragraph" w:styleId="Encabezado">
    <w:name w:val="header"/>
    <w:basedOn w:val="Normal"/>
    <w:link w:val="EncabezadoCar"/>
    <w:uiPriority w:val="99"/>
    <w:unhideWhenUsed w:val="1"/>
    <w:rsid w:val="00193E70"/>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193E70"/>
  </w:style>
  <w:style w:type="paragraph" w:styleId="Piedepgina">
    <w:name w:val="footer"/>
    <w:basedOn w:val="Normal"/>
    <w:link w:val="PiedepginaCar"/>
    <w:uiPriority w:val="99"/>
    <w:unhideWhenUsed w:val="1"/>
    <w:rsid w:val="00193E70"/>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193E70"/>
  </w:style>
  <w:style w:type="paragraph" w:styleId="NormalWeb">
    <w:name w:val="Normal (Web)"/>
    <w:basedOn w:val="Normal"/>
    <w:uiPriority w:val="99"/>
    <w:semiHidden w:val="1"/>
    <w:unhideWhenUsed w:val="1"/>
    <w:rsid w:val="00A5395C"/>
    <w:pPr>
      <w:spacing w:after="100" w:afterAutospacing="1" w:before="100" w:beforeAutospacing="1" w:line="240" w:lineRule="auto"/>
    </w:pPr>
    <w:rPr>
      <w:rFonts w:ascii="Times New Roman" w:cs="Times New Roman" w:eastAsia="Times New Roman" w:hAnsi="Times New Roman"/>
      <w:sz w:val="24"/>
      <w:szCs w:val="24"/>
      <w:lang w:val="es-ES"/>
    </w:rPr>
  </w:style>
  <w:style w:type="paragraph" w:styleId="Textonotapie">
    <w:name w:val="footnote text"/>
    <w:basedOn w:val="Normal"/>
    <w:link w:val="TextonotapieCar"/>
    <w:uiPriority w:val="99"/>
    <w:semiHidden w:val="1"/>
    <w:unhideWhenUsed w:val="1"/>
    <w:rsid w:val="00D77AA8"/>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D77AA8"/>
    <w:rPr>
      <w:sz w:val="20"/>
      <w:szCs w:val="20"/>
    </w:rPr>
  </w:style>
  <w:style w:type="character" w:styleId="Refdenotaalpie">
    <w:name w:val="footnote reference"/>
    <w:basedOn w:val="Fuentedeprrafopredeter"/>
    <w:uiPriority w:val="99"/>
    <w:semiHidden w:val="1"/>
    <w:unhideWhenUsed w:val="1"/>
    <w:rsid w:val="00D77AA8"/>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85RjV2aSnfaKBchffFVk5hLUg==">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2024-07-07T10:42:00Z</dcterms:created>
  <dc:creator>UJA</dc:creator>
</cp:coreProperties>
</file>