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938"/>
      </w:tblGrid>
      <w:tr w:rsidR="00CF403C" w:rsidTr="00B22042">
        <w:trPr>
          <w:trHeight w:val="568"/>
        </w:trPr>
        <w:tc>
          <w:tcPr>
            <w:tcW w:w="3809" w:type="dxa"/>
            <w:vAlign w:val="center"/>
          </w:tcPr>
          <w:p w:rsidR="00CF403C" w:rsidRPr="00CF403C" w:rsidRDefault="00E62013" w:rsidP="004F4BEB">
            <w:pPr>
              <w:ind w:left="-142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6B20942" wp14:editId="7719D3E8">
                  <wp:extent cx="2371725" cy="971550"/>
                  <wp:effectExtent l="0" t="0" r="0" b="0"/>
                  <wp:docPr id="1" name="Imagen 1" descr="D:\documentos\documentos maestros\logos\submarca biblioteca\Servicios - Gris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\documentos maestros\logos\submarca biblioteca\Servicios - Gris-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3" t="9868" b="23026"/>
                          <a:stretch/>
                        </pic:blipFill>
                        <pic:spPr bwMode="auto">
                          <a:xfrm>
                            <a:off x="0" y="0"/>
                            <a:ext cx="2371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403C" w:rsidRDefault="00CF403C" w:rsidP="004F4BEB">
            <w:pPr>
              <w:ind w:left="-142"/>
              <w:rPr>
                <w:color w:val="000000"/>
                <w:sz w:val="20"/>
                <w:lang w:val="es-ES_tradnl"/>
              </w:rPr>
            </w:pPr>
          </w:p>
        </w:tc>
        <w:tc>
          <w:tcPr>
            <w:tcW w:w="5938" w:type="dxa"/>
            <w:vAlign w:val="center"/>
          </w:tcPr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8"/>
              </w:rPr>
            </w:pPr>
            <w:r w:rsidRPr="00A44FBC">
              <w:rPr>
                <w:color w:val="000000"/>
                <w:sz w:val="28"/>
              </w:rPr>
              <w:t xml:space="preserve">ACTA DE LA REUNIÓN DE LA </w:t>
            </w:r>
          </w:p>
          <w:p w:rsidR="00CF403C" w:rsidRPr="00A44FBC" w:rsidRDefault="00CF403C" w:rsidP="004F4BEB">
            <w:pPr>
              <w:pStyle w:val="Ttulo1"/>
              <w:spacing w:line="340" w:lineRule="exact"/>
              <w:jc w:val="right"/>
              <w:rPr>
                <w:color w:val="000000"/>
                <w:sz w:val="21"/>
              </w:rPr>
            </w:pPr>
            <w:r w:rsidRPr="00A44FBC">
              <w:rPr>
                <w:color w:val="000000"/>
                <w:sz w:val="28"/>
              </w:rPr>
              <w:t>COMISIÓN DE BIBLIOTECA</w:t>
            </w:r>
          </w:p>
          <w:p w:rsidR="00CF403C" w:rsidRPr="00A44FBC" w:rsidRDefault="00CF403C" w:rsidP="004F4BEB">
            <w:pPr>
              <w:jc w:val="right"/>
              <w:rPr>
                <w:color w:val="000000"/>
                <w:sz w:val="21"/>
              </w:rPr>
            </w:pPr>
          </w:p>
          <w:p w:rsidR="00CF403C" w:rsidRDefault="00CF403C" w:rsidP="00E6616F">
            <w:pPr>
              <w:jc w:val="right"/>
              <w:rPr>
                <w:color w:val="000000"/>
                <w:sz w:val="20"/>
                <w:lang w:val="es-ES_tradnl"/>
              </w:rPr>
            </w:pPr>
            <w:r w:rsidRPr="00A44FBC">
              <w:rPr>
                <w:color w:val="000000"/>
                <w:sz w:val="20"/>
                <w:lang w:val="es-ES_tradnl"/>
              </w:rPr>
              <w:t xml:space="preserve">Universidad de Jaén, </w:t>
            </w:r>
            <w:r w:rsidR="00E6616F">
              <w:rPr>
                <w:color w:val="000000"/>
                <w:sz w:val="20"/>
                <w:lang w:val="es-ES_tradnl"/>
              </w:rPr>
              <w:t>24</w:t>
            </w:r>
            <w:r w:rsidRPr="00A44FBC">
              <w:rPr>
                <w:color w:val="000000"/>
                <w:sz w:val="20"/>
                <w:lang w:val="es-ES_tradnl"/>
              </w:rPr>
              <w:t xml:space="preserve"> de </w:t>
            </w:r>
            <w:r w:rsidR="00E6616F">
              <w:rPr>
                <w:color w:val="000000"/>
                <w:sz w:val="20"/>
                <w:lang w:val="es-ES_tradnl"/>
              </w:rPr>
              <w:t>noviembre</w:t>
            </w:r>
            <w:r w:rsidR="001A2D4F" w:rsidRPr="00A44FBC">
              <w:rPr>
                <w:color w:val="000000"/>
                <w:sz w:val="20"/>
                <w:lang w:val="es-ES_tradnl"/>
              </w:rPr>
              <w:t xml:space="preserve"> </w:t>
            </w:r>
            <w:r w:rsidRPr="00A44FBC">
              <w:rPr>
                <w:color w:val="000000"/>
                <w:sz w:val="20"/>
                <w:lang w:val="es-ES_tradnl"/>
              </w:rPr>
              <w:t>de 20</w:t>
            </w:r>
            <w:r w:rsidR="000973F8">
              <w:rPr>
                <w:color w:val="000000"/>
                <w:sz w:val="20"/>
                <w:lang w:val="es-ES_tradnl"/>
              </w:rPr>
              <w:t>2</w:t>
            </w:r>
            <w:r w:rsidR="004E48B7">
              <w:rPr>
                <w:color w:val="000000"/>
                <w:sz w:val="20"/>
                <w:lang w:val="es-ES_tradnl"/>
              </w:rPr>
              <w:t>1</w:t>
            </w:r>
          </w:p>
        </w:tc>
      </w:tr>
    </w:tbl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</w:p>
    <w:p w:rsidR="000F13D7" w:rsidRPr="00A44FBC" w:rsidRDefault="000F13D7">
      <w:pPr>
        <w:jc w:val="both"/>
        <w:rPr>
          <w:color w:val="000000"/>
          <w:sz w:val="20"/>
          <w:lang w:val="es-ES_tradnl"/>
        </w:rPr>
      </w:pPr>
      <w:r w:rsidRPr="00A44FBC">
        <w:rPr>
          <w:color w:val="000000"/>
          <w:sz w:val="20"/>
          <w:lang w:val="es-ES_tradnl"/>
        </w:rPr>
        <w:t xml:space="preserve">En la Universidad de Jaén, el día </w:t>
      </w:r>
      <w:r w:rsidR="00E6616F">
        <w:rPr>
          <w:color w:val="000000"/>
          <w:sz w:val="20"/>
          <w:lang w:val="es-ES_tradnl"/>
        </w:rPr>
        <w:t>24</w:t>
      </w:r>
      <w:r w:rsidR="00CD42E6">
        <w:rPr>
          <w:color w:val="000000"/>
          <w:sz w:val="20"/>
          <w:lang w:val="es-ES_tradnl"/>
        </w:rPr>
        <w:t xml:space="preserve"> </w:t>
      </w:r>
      <w:r w:rsidR="002C005F" w:rsidRPr="00A44FBC">
        <w:rPr>
          <w:color w:val="000000"/>
          <w:sz w:val="20"/>
          <w:lang w:val="es-ES_tradnl"/>
        </w:rPr>
        <w:t xml:space="preserve">de </w:t>
      </w:r>
      <w:r w:rsidR="00E6616F">
        <w:rPr>
          <w:color w:val="000000"/>
          <w:sz w:val="20"/>
          <w:lang w:val="es-ES_tradnl"/>
        </w:rPr>
        <w:t>noviembre</w:t>
      </w:r>
      <w:r w:rsidR="004E48B7">
        <w:rPr>
          <w:color w:val="000000"/>
          <w:sz w:val="20"/>
          <w:lang w:val="es-ES_tradnl"/>
        </w:rPr>
        <w:t xml:space="preserve"> </w:t>
      </w:r>
      <w:r w:rsidR="002C005F" w:rsidRPr="00A44FBC">
        <w:rPr>
          <w:color w:val="000000"/>
          <w:sz w:val="20"/>
          <w:lang w:val="es-ES_tradnl"/>
        </w:rPr>
        <w:t>de 20</w:t>
      </w:r>
      <w:r w:rsidR="000973F8">
        <w:rPr>
          <w:color w:val="000000"/>
          <w:sz w:val="20"/>
          <w:lang w:val="es-ES_tradnl"/>
        </w:rPr>
        <w:t>2</w:t>
      </w:r>
      <w:r w:rsidR="004E48B7">
        <w:rPr>
          <w:color w:val="000000"/>
          <w:sz w:val="20"/>
          <w:lang w:val="es-ES_tradnl"/>
        </w:rPr>
        <w:t>1</w:t>
      </w:r>
      <w:r w:rsidRPr="00A44FBC">
        <w:rPr>
          <w:color w:val="000000"/>
          <w:sz w:val="20"/>
          <w:lang w:val="es-ES_tradnl"/>
        </w:rPr>
        <w:t xml:space="preserve">, a las </w:t>
      </w:r>
      <w:r w:rsidR="005F04DD">
        <w:rPr>
          <w:color w:val="000000"/>
          <w:sz w:val="20"/>
          <w:lang w:val="es-ES_tradnl"/>
        </w:rPr>
        <w:t>1</w:t>
      </w:r>
      <w:r w:rsidR="004E48B7">
        <w:rPr>
          <w:color w:val="000000"/>
          <w:sz w:val="20"/>
          <w:lang w:val="es-ES_tradnl"/>
        </w:rPr>
        <w:t>0</w:t>
      </w:r>
      <w:r w:rsidR="00B504D9">
        <w:rPr>
          <w:color w:val="000000"/>
          <w:sz w:val="20"/>
          <w:lang w:val="es-ES_tradnl"/>
        </w:rPr>
        <w:t>.</w:t>
      </w:r>
      <w:r w:rsidR="00442BB4">
        <w:rPr>
          <w:color w:val="000000"/>
          <w:sz w:val="20"/>
          <w:lang w:val="es-ES_tradnl"/>
        </w:rPr>
        <w:t>0</w:t>
      </w:r>
      <w:r w:rsidR="00380786">
        <w:rPr>
          <w:color w:val="000000"/>
          <w:sz w:val="20"/>
          <w:lang w:val="es-ES_tradnl"/>
        </w:rPr>
        <w:t>0</w:t>
      </w:r>
      <w:r w:rsidRPr="00A44FBC">
        <w:rPr>
          <w:color w:val="000000"/>
          <w:sz w:val="20"/>
          <w:lang w:val="es-ES_tradnl"/>
        </w:rPr>
        <w:t xml:space="preserve"> horas, tiene lugar la reunión de la Comisión de Biblioteca, con la asistencia de los siguientes miembros:</w:t>
      </w:r>
    </w:p>
    <w:p w:rsidR="000F13D7" w:rsidRDefault="000F13D7">
      <w:pPr>
        <w:jc w:val="both"/>
        <w:rPr>
          <w:color w:val="000000"/>
          <w:sz w:val="20"/>
          <w:lang w:val="es-ES_tradnl"/>
        </w:rPr>
      </w:pPr>
    </w:p>
    <w:p w:rsidR="00BD5AC2" w:rsidRPr="00A44FBC" w:rsidRDefault="00BD5AC2">
      <w:pPr>
        <w:jc w:val="both"/>
        <w:rPr>
          <w:color w:val="000000"/>
          <w:sz w:val="20"/>
          <w:lang w:val="es-ES_tradnl"/>
        </w:rPr>
      </w:pPr>
    </w:p>
    <w:p w:rsidR="00BD5AC2" w:rsidRDefault="00BD5AC2" w:rsidP="00BD5AC2">
      <w:pPr>
        <w:rPr>
          <w:rFonts w:cs="Arial"/>
          <w:sz w:val="20"/>
        </w:rPr>
      </w:pPr>
      <w:r>
        <w:rPr>
          <w:rFonts w:cs="Arial"/>
          <w:sz w:val="20"/>
        </w:rPr>
        <w:t xml:space="preserve">D. </w:t>
      </w:r>
      <w:r w:rsidR="00CF7D22">
        <w:rPr>
          <w:rFonts w:cs="Arial"/>
          <w:sz w:val="20"/>
        </w:rPr>
        <w:t>Felipe Serrano Estrella</w:t>
      </w:r>
    </w:p>
    <w:p w:rsidR="00CF7D22" w:rsidRDefault="00CF7D22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Javier Gallego Álvarez</w:t>
      </w:r>
    </w:p>
    <w:p w:rsidR="004E48B7" w:rsidRDefault="004E48B7" w:rsidP="00CF7D22">
      <w:pPr>
        <w:rPr>
          <w:rFonts w:cs="Arial"/>
          <w:sz w:val="20"/>
        </w:rPr>
      </w:pPr>
      <w:r>
        <w:rPr>
          <w:rFonts w:cs="Arial"/>
          <w:sz w:val="20"/>
        </w:rPr>
        <w:t>D. Fernando Lerma Cobo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Dña. Manuela Merino García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D. Pedro Luis Pancorbo Hidalgo</w:t>
      </w:r>
    </w:p>
    <w:p w:rsidR="00C04AE5" w:rsidRDefault="00C04AE5" w:rsidP="00CF7D22">
      <w:pPr>
        <w:rPr>
          <w:rFonts w:cs="Arial"/>
          <w:sz w:val="20"/>
        </w:rPr>
      </w:pPr>
      <w:r>
        <w:rPr>
          <w:rFonts w:cs="Arial"/>
          <w:sz w:val="20"/>
        </w:rPr>
        <w:t>D. Francisco Partal Ureña</w:t>
      </w:r>
    </w:p>
    <w:p w:rsidR="00A56B6C" w:rsidRPr="00D83F5E" w:rsidRDefault="00A56B6C" w:rsidP="00BD5AC2">
      <w:pPr>
        <w:rPr>
          <w:rFonts w:cs="Arial"/>
          <w:sz w:val="20"/>
        </w:rPr>
      </w:pPr>
      <w:r>
        <w:rPr>
          <w:rFonts w:cs="Arial"/>
          <w:sz w:val="20"/>
        </w:rPr>
        <w:t>D. Sebastián Jarillo Calvarro</w:t>
      </w:r>
    </w:p>
    <w:p w:rsidR="00BD5AC2" w:rsidRDefault="00BD5AC2">
      <w:pPr>
        <w:jc w:val="both"/>
        <w:rPr>
          <w:color w:val="000000"/>
          <w:sz w:val="20"/>
        </w:rPr>
      </w:pPr>
    </w:p>
    <w:p w:rsidR="00CD42E6" w:rsidRDefault="00CD42E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Disculpan su asistencia:</w:t>
      </w:r>
    </w:p>
    <w:p w:rsidR="00CD42E6" w:rsidRDefault="00CD42E6">
      <w:pPr>
        <w:jc w:val="both"/>
        <w:rPr>
          <w:color w:val="000000"/>
          <w:sz w:val="20"/>
        </w:rPr>
      </w:pPr>
    </w:p>
    <w:p w:rsidR="00E6616F" w:rsidRDefault="00E6616F" w:rsidP="00E6616F">
      <w:pPr>
        <w:rPr>
          <w:rFonts w:cs="Arial"/>
          <w:sz w:val="20"/>
        </w:rPr>
      </w:pPr>
      <w:r>
        <w:rPr>
          <w:rFonts w:cs="Arial"/>
          <w:sz w:val="20"/>
        </w:rPr>
        <w:t>D. Javier Díaz López</w:t>
      </w:r>
    </w:p>
    <w:p w:rsidR="00CD42E6" w:rsidRPr="00701302" w:rsidRDefault="00CD42E6">
      <w:pPr>
        <w:jc w:val="both"/>
        <w:rPr>
          <w:rFonts w:cs="Arial"/>
          <w:sz w:val="20"/>
        </w:rPr>
      </w:pPr>
    </w:p>
    <w:p w:rsidR="006A69F8" w:rsidRPr="00701302" w:rsidRDefault="006A69F8">
      <w:pPr>
        <w:jc w:val="both"/>
        <w:rPr>
          <w:rFonts w:cs="Arial"/>
          <w:sz w:val="20"/>
          <w:lang w:val="es-ES_tradnl"/>
        </w:rPr>
      </w:pPr>
    </w:p>
    <w:p w:rsidR="000F13D7" w:rsidRPr="00701302" w:rsidRDefault="000F13D7">
      <w:pPr>
        <w:jc w:val="both"/>
        <w:rPr>
          <w:rFonts w:cs="Arial"/>
          <w:sz w:val="20"/>
          <w:lang w:val="es-ES_tradnl"/>
        </w:rPr>
      </w:pPr>
      <w:r w:rsidRPr="00701302">
        <w:rPr>
          <w:rFonts w:cs="Arial"/>
          <w:sz w:val="20"/>
          <w:lang w:val="es-ES_tradnl"/>
        </w:rPr>
        <w:t>Orden del día</w:t>
      </w:r>
    </w:p>
    <w:p w:rsidR="00EE273D" w:rsidRPr="00701302" w:rsidRDefault="00EE273D" w:rsidP="00EE273D">
      <w:pPr>
        <w:rPr>
          <w:rFonts w:cs="Arial"/>
          <w:sz w:val="20"/>
        </w:rPr>
      </w:pPr>
    </w:p>
    <w:p w:rsidR="00701302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1302">
        <w:rPr>
          <w:rFonts w:ascii="Arial" w:hAnsi="Arial" w:cs="Arial"/>
          <w:sz w:val="20"/>
        </w:rPr>
        <w:t>Propuestas de adquisición de recursos informativos y cierre de presupuesto 2021</w:t>
      </w:r>
    </w:p>
    <w:p w:rsidR="00701302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1302">
        <w:rPr>
          <w:rFonts w:ascii="Arial" w:hAnsi="Arial" w:cs="Arial"/>
          <w:sz w:val="20"/>
        </w:rPr>
        <w:t>Presupuesto 2022</w:t>
      </w:r>
    </w:p>
    <w:p w:rsidR="00701302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1302">
        <w:rPr>
          <w:rFonts w:ascii="Arial" w:hAnsi="Arial" w:cs="Arial"/>
          <w:sz w:val="20"/>
        </w:rPr>
        <w:t xml:space="preserve">Cuadro de Mando Integral de la BUJA 2021. Encuesta de opinión y satisfacción del PAS </w:t>
      </w:r>
    </w:p>
    <w:p w:rsidR="00701302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1302">
        <w:rPr>
          <w:rFonts w:ascii="Arial" w:hAnsi="Arial" w:cs="Arial"/>
          <w:sz w:val="20"/>
        </w:rPr>
        <w:t>Medidas COVID y Biblioteca</w:t>
      </w:r>
    </w:p>
    <w:p w:rsidR="00701302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701302">
        <w:rPr>
          <w:rFonts w:ascii="Arial" w:hAnsi="Arial" w:cs="Arial"/>
          <w:sz w:val="20"/>
        </w:rPr>
        <w:t>Proyecto Centro de Recursos para el Aprendizaje y la Investigación (CRAI)</w:t>
      </w:r>
    </w:p>
    <w:p w:rsidR="00CD42E6" w:rsidRPr="00701302" w:rsidRDefault="00701302" w:rsidP="0070130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lang w:val="es-ES_tradnl"/>
        </w:rPr>
      </w:pPr>
      <w:r w:rsidRPr="00701302">
        <w:rPr>
          <w:rFonts w:ascii="Arial" w:hAnsi="Arial" w:cs="Arial"/>
          <w:sz w:val="20"/>
        </w:rPr>
        <w:t>Ruegos y preguntas</w:t>
      </w:r>
    </w:p>
    <w:p w:rsidR="00553A66" w:rsidRPr="00701302" w:rsidRDefault="00553A66" w:rsidP="00253C09">
      <w:pPr>
        <w:jc w:val="both"/>
        <w:rPr>
          <w:rFonts w:cs="Arial"/>
          <w:sz w:val="20"/>
          <w:lang w:val="es-ES_tradnl"/>
        </w:rPr>
      </w:pPr>
    </w:p>
    <w:p w:rsidR="00701302" w:rsidRPr="00701302" w:rsidRDefault="00701302" w:rsidP="00253C09">
      <w:pPr>
        <w:jc w:val="both"/>
        <w:rPr>
          <w:rFonts w:cs="Arial"/>
          <w:sz w:val="20"/>
          <w:lang w:val="es-ES_tradnl"/>
        </w:rPr>
      </w:pPr>
    </w:p>
    <w:p w:rsidR="00253C09" w:rsidRPr="002A5AFA" w:rsidRDefault="00253C09" w:rsidP="00253C09">
      <w:pPr>
        <w:jc w:val="both"/>
        <w:rPr>
          <w:rFonts w:cs="Arial"/>
          <w:sz w:val="20"/>
          <w:lang w:val="es-ES_tradnl"/>
        </w:rPr>
      </w:pPr>
      <w:r w:rsidRPr="002A5AFA">
        <w:rPr>
          <w:rFonts w:cs="Arial"/>
          <w:sz w:val="20"/>
          <w:lang w:val="es-ES_tradnl"/>
        </w:rPr>
        <w:t>Desarrollo de la Comisión:</w:t>
      </w:r>
    </w:p>
    <w:p w:rsidR="00253C09" w:rsidRPr="00E6616F" w:rsidRDefault="00253C09" w:rsidP="00A41A7E">
      <w:pPr>
        <w:jc w:val="both"/>
        <w:rPr>
          <w:rFonts w:cs="Arial"/>
          <w:color w:val="FF0000"/>
          <w:sz w:val="20"/>
        </w:rPr>
      </w:pPr>
    </w:p>
    <w:p w:rsidR="006C09F7" w:rsidRDefault="006C09F7" w:rsidP="006C09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F05CA0">
        <w:rPr>
          <w:rFonts w:ascii="Arial" w:hAnsi="Arial" w:cs="Arial"/>
          <w:color w:val="000000" w:themeColor="text1"/>
          <w:sz w:val="20"/>
        </w:rPr>
        <w:t>D. Felipe Serrano presenta las propuestas de adquisición de recursos informativos y cierre de presupuesto 202</w:t>
      </w:r>
      <w:r w:rsidR="002A5AFA">
        <w:rPr>
          <w:rFonts w:ascii="Arial" w:hAnsi="Arial" w:cs="Arial"/>
          <w:color w:val="000000" w:themeColor="text1"/>
          <w:sz w:val="20"/>
        </w:rPr>
        <w:t>1</w:t>
      </w:r>
      <w:r w:rsidRPr="00F05CA0">
        <w:rPr>
          <w:rFonts w:ascii="Arial" w:hAnsi="Arial" w:cs="Arial"/>
          <w:color w:val="000000" w:themeColor="text1"/>
          <w:sz w:val="20"/>
        </w:rPr>
        <w:t xml:space="preserve">, </w:t>
      </w:r>
      <w:r>
        <w:rPr>
          <w:rFonts w:ascii="Arial" w:hAnsi="Arial" w:cs="Arial"/>
          <w:color w:val="000000" w:themeColor="text1"/>
          <w:sz w:val="20"/>
        </w:rPr>
        <w:t>dando</w:t>
      </w:r>
      <w:r w:rsidRPr="00F05CA0">
        <w:rPr>
          <w:rFonts w:ascii="Arial" w:hAnsi="Arial" w:cs="Arial"/>
          <w:color w:val="000000" w:themeColor="text1"/>
          <w:sz w:val="20"/>
        </w:rPr>
        <w:t xml:space="preserve"> la palabra a D. Sebastián Jarillo, que detalla y explica </w:t>
      </w:r>
      <w:r>
        <w:rPr>
          <w:rFonts w:ascii="Arial" w:hAnsi="Arial" w:cs="Arial"/>
          <w:color w:val="000000" w:themeColor="text1"/>
          <w:sz w:val="20"/>
        </w:rPr>
        <w:t>el informe. Tra</w:t>
      </w:r>
      <w:r w:rsidRPr="00F05CA0">
        <w:rPr>
          <w:rFonts w:ascii="Arial" w:hAnsi="Arial" w:cs="Arial"/>
          <w:color w:val="000000" w:themeColor="text1"/>
          <w:sz w:val="20"/>
        </w:rPr>
        <w:t>s discusión, la C</w:t>
      </w:r>
      <w:r>
        <w:rPr>
          <w:rFonts w:ascii="Arial" w:hAnsi="Arial" w:cs="Arial"/>
          <w:color w:val="000000" w:themeColor="text1"/>
          <w:sz w:val="20"/>
        </w:rPr>
        <w:t>omisión de Biblioteca aprueba todas las propuestas del PDI y de la propia Biblioteca.</w:t>
      </w:r>
    </w:p>
    <w:p w:rsidR="006C09F7" w:rsidRDefault="006C09F7" w:rsidP="006C09F7">
      <w:pPr>
        <w:jc w:val="both"/>
        <w:rPr>
          <w:rFonts w:cs="Arial"/>
          <w:color w:val="000000" w:themeColor="text1"/>
          <w:sz w:val="20"/>
        </w:rPr>
      </w:pPr>
    </w:p>
    <w:p w:rsidR="00B92C4E" w:rsidRDefault="00B92C4E" w:rsidP="00B92C4E">
      <w:pPr>
        <w:ind w:left="360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Propuestas del PDI:</w:t>
      </w:r>
    </w:p>
    <w:p w:rsidR="00B92C4E" w:rsidRDefault="00B92C4E" w:rsidP="006C09F7">
      <w:pPr>
        <w:jc w:val="both"/>
        <w:rPr>
          <w:rFonts w:cs="Arial"/>
          <w:color w:val="000000" w:themeColor="text1"/>
          <w:sz w:val="20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536"/>
        <w:gridCol w:w="2127"/>
        <w:gridCol w:w="708"/>
      </w:tblGrid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TITULO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EDITORIAL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b/>
                <w:color w:val="000000"/>
                <w:sz w:val="16"/>
                <w:szCs w:val="16"/>
              </w:rPr>
              <w:t>AÑO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Óscar Loureda y Angela Schrott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Manual de lingüística del hablar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Mouton de Gruyter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García García, José Manuel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Legislación hipotecaria y del crédito inmobiliario. Tomos I-II (Dúo)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Aranzadi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EZQUERRA HUERVA, A  y otros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COMENTARIOS A LA LEY REGULADORA DE LA JURISDICCIÓN CONTEN</w:t>
            </w:r>
            <w:r>
              <w:rPr>
                <w:rFonts w:cs="Arial"/>
                <w:color w:val="000000"/>
                <w:sz w:val="16"/>
                <w:szCs w:val="16"/>
              </w:rPr>
              <w:t>CIOSO-ADMINISTRATIVO 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TIRANT LO BLANCH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GUICHOT, E./BARRERO, C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 xml:space="preserve">EL DERECHO DE ACCESO A LA INFORMACION PUBLICA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TIRANT LO BLANCH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Isabelle BROUARD-ARENDS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Littérature et engagement pendant la Révolution française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Presses universitaires de Rennes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Isabelle BROUARD-ARENDS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Lectrices d'Ancien Régime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Presses Universitaires de Rennes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2003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Geneviève FRAISSE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Féminisme et philosophie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Gallimard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Huguette KRIEF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Dictionnaire des femmes des Lumières (2 vol.)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Honoré Champion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2015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Huguette KRIEF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Entre terreur et vertu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Honoré Champion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Huguette KRIEF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Femmes des Lumières. Recherches en arborescences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Classiques Garnier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2018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Huguette KRIEF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Vivre libre et écrire: Anthologie des Romancières de la période Révolutionnaire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Presses Université Paris-Sorbonne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2005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lastRenderedPageBreak/>
              <w:t>Michelle PERROT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La place des femmes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Textuel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Michelle PERROT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Femmes et république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La Documentation Française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2021</w:t>
            </w:r>
          </w:p>
        </w:tc>
      </w:tr>
      <w:tr w:rsidR="00B74320" w:rsidRPr="00B74320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Christine PLANTÉ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Femmes poètes du XIXe siècle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Presses Universitaires de Lyon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2010</w:t>
            </w:r>
          </w:p>
        </w:tc>
      </w:tr>
      <w:tr w:rsidR="00B74320" w:rsidRPr="00760187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Christine PLANTÉ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Masculin-féminin dans la poésie et les poétiques du XIXe siècle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Presses Universitaires de Lyon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</w:tr>
      <w:tr w:rsidR="00B74320" w:rsidRPr="00760187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Martine REID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Femmes et littérature: une histoire culturelle (vol.1)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Gallimard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</w:tr>
      <w:tr w:rsidR="00B74320" w:rsidRPr="00760187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Martine REID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Femmes et littérature: une histoire culturelle (vol. 2)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Gallimard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</w:tr>
      <w:tr w:rsidR="00B74320" w:rsidRPr="00760187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Constance de SALM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Vingt-quatre heures d'une femme sensible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Flammarion coll. Étonnants classiques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2012</w:t>
            </w:r>
          </w:p>
        </w:tc>
      </w:tr>
      <w:tr w:rsidR="00B74320" w:rsidRPr="00760187" w:rsidTr="00EB0256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OSSWALD, Rainer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Das islamische Sklavenrecht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Ergon Verlag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74320" w:rsidRPr="00B74320" w:rsidRDefault="00B74320" w:rsidP="00B74320">
            <w:pPr>
              <w:rPr>
                <w:rFonts w:cs="Arial"/>
                <w:color w:val="000000"/>
                <w:sz w:val="16"/>
                <w:szCs w:val="16"/>
              </w:rPr>
            </w:pPr>
            <w:r w:rsidRPr="00B74320">
              <w:rPr>
                <w:rFonts w:cs="Arial"/>
                <w:color w:val="000000"/>
                <w:sz w:val="16"/>
                <w:szCs w:val="16"/>
              </w:rPr>
              <w:t>2017</w:t>
            </w:r>
          </w:p>
        </w:tc>
      </w:tr>
    </w:tbl>
    <w:p w:rsidR="00B74320" w:rsidRPr="00760187" w:rsidRDefault="00B74320" w:rsidP="006C09F7">
      <w:pPr>
        <w:jc w:val="both"/>
        <w:rPr>
          <w:rFonts w:cs="Arial"/>
          <w:color w:val="000000" w:themeColor="text1"/>
          <w:sz w:val="20"/>
        </w:rPr>
      </w:pPr>
    </w:p>
    <w:p w:rsidR="00EB0256" w:rsidRPr="00760187" w:rsidRDefault="00EB0256" w:rsidP="00EB0256">
      <w:pPr>
        <w:ind w:firstLine="284"/>
        <w:rPr>
          <w:rFonts w:cs="Arial"/>
          <w:sz w:val="20"/>
        </w:rPr>
      </w:pPr>
      <w:r w:rsidRPr="00760187">
        <w:rPr>
          <w:rFonts w:cs="Arial"/>
          <w:sz w:val="20"/>
        </w:rPr>
        <w:t>Nuevos títulos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559"/>
        <w:gridCol w:w="2551"/>
      </w:tblGrid>
      <w:tr w:rsidR="00EB0256" w:rsidRPr="00760187" w:rsidTr="00EB0256">
        <w:trPr>
          <w:trHeight w:val="288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sz w:val="20"/>
              </w:rPr>
              <w:t>Base de Datos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Formato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EB0256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 xml:space="preserve">precio 2022 </w:t>
            </w:r>
            <w:r w:rsidRPr="00760187">
              <w:rPr>
                <w:rFonts w:cs="Arial"/>
                <w:sz w:val="20"/>
              </w:rPr>
              <w:t>(con IVA)</w:t>
            </w:r>
          </w:p>
        </w:tc>
      </w:tr>
      <w:tr w:rsidR="00EB0256" w:rsidRPr="00760187" w:rsidTr="00EB0256">
        <w:trPr>
          <w:trHeight w:val="288"/>
        </w:trPr>
        <w:tc>
          <w:tcPr>
            <w:tcW w:w="5245" w:type="dxa"/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Fisterra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Online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B0256" w:rsidRPr="00760187" w:rsidRDefault="00EB0256" w:rsidP="00676403">
            <w:pPr>
              <w:jc w:val="right"/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sz w:val="20"/>
              </w:rPr>
              <w:t>2962,08</w:t>
            </w:r>
          </w:p>
        </w:tc>
      </w:tr>
      <w:tr w:rsidR="00EB0256" w:rsidRPr="00760187" w:rsidTr="00EB0256">
        <w:trPr>
          <w:trHeight w:val="270"/>
        </w:trPr>
        <w:tc>
          <w:tcPr>
            <w:tcW w:w="5245" w:type="dxa"/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Jove Unlimited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Online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B0256" w:rsidRPr="00760187" w:rsidRDefault="00EB0256" w:rsidP="00676403">
            <w:pPr>
              <w:jc w:val="right"/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29645,00€</w:t>
            </w:r>
          </w:p>
        </w:tc>
      </w:tr>
      <w:tr w:rsidR="00EB0256" w:rsidRPr="00760187" w:rsidTr="00EB0256">
        <w:trPr>
          <w:trHeight w:val="288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Dynamic Health – CINAHl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676403">
            <w:pPr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Online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B0256" w:rsidRPr="00760187" w:rsidRDefault="00EB0256" w:rsidP="00676403">
            <w:pPr>
              <w:jc w:val="right"/>
              <w:rPr>
                <w:rFonts w:cs="Arial"/>
                <w:color w:val="000000"/>
                <w:sz w:val="20"/>
              </w:rPr>
            </w:pPr>
            <w:r w:rsidRPr="00760187">
              <w:rPr>
                <w:rFonts w:cs="Arial"/>
                <w:color w:val="000000"/>
                <w:sz w:val="20"/>
              </w:rPr>
              <w:t>12259,72€</w:t>
            </w:r>
          </w:p>
        </w:tc>
      </w:tr>
    </w:tbl>
    <w:p w:rsidR="00EB0256" w:rsidRPr="00760187" w:rsidRDefault="00EB0256" w:rsidP="00EB0256">
      <w:pPr>
        <w:rPr>
          <w:rFonts w:cs="Arial"/>
          <w:sz w:val="20"/>
          <w:u w:val="single"/>
        </w:rPr>
      </w:pPr>
    </w:p>
    <w:p w:rsidR="00EB0256" w:rsidRPr="00760187" w:rsidRDefault="00EB0256" w:rsidP="00EB0256">
      <w:pPr>
        <w:ind w:firstLine="284"/>
        <w:rPr>
          <w:rFonts w:cs="Arial"/>
          <w:sz w:val="20"/>
        </w:rPr>
      </w:pPr>
      <w:r w:rsidRPr="00760187">
        <w:rPr>
          <w:rFonts w:cs="Arial"/>
          <w:sz w:val="20"/>
        </w:rPr>
        <w:t>Traspaso a presupuesto de Biblioteca</w:t>
      </w:r>
    </w:p>
    <w:tbl>
      <w:tblPr>
        <w:tblW w:w="9355" w:type="dxa"/>
        <w:tblInd w:w="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1559"/>
        <w:gridCol w:w="2551"/>
      </w:tblGrid>
      <w:tr w:rsidR="00EB0256" w:rsidRPr="00760187" w:rsidTr="00EB0256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676403">
            <w:pPr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Título de revista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676403">
            <w:pPr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Formato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EB0256">
            <w:pPr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precio 2021 (con IVA)</w:t>
            </w:r>
          </w:p>
        </w:tc>
      </w:tr>
      <w:tr w:rsidR="00EB0256" w:rsidRPr="00760187" w:rsidTr="00EB0256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676403">
            <w:pPr>
              <w:rPr>
                <w:rFonts w:cs="Arial"/>
                <w:sz w:val="20"/>
                <w:u w:val="single"/>
              </w:rPr>
            </w:pPr>
            <w:r w:rsidRPr="00760187">
              <w:rPr>
                <w:rFonts w:cs="Arial"/>
                <w:sz w:val="20"/>
                <w:u w:val="single"/>
              </w:rPr>
              <w:t>Revista de Derecho Migratorio y Extranjería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676403">
            <w:pPr>
              <w:rPr>
                <w:rFonts w:cs="Arial"/>
                <w:sz w:val="20"/>
                <w:u w:val="single"/>
              </w:rPr>
            </w:pPr>
            <w:r w:rsidRPr="00760187">
              <w:rPr>
                <w:rFonts w:cs="Arial"/>
                <w:sz w:val="20"/>
                <w:u w:val="single"/>
              </w:rPr>
              <w:t>Print + Online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B0256" w:rsidRPr="00760187" w:rsidRDefault="00EB0256" w:rsidP="00676403">
            <w:pPr>
              <w:rPr>
                <w:rFonts w:cs="Arial"/>
                <w:sz w:val="20"/>
                <w:u w:val="single"/>
              </w:rPr>
            </w:pPr>
            <w:r w:rsidRPr="00760187">
              <w:rPr>
                <w:rFonts w:cs="Arial"/>
                <w:sz w:val="20"/>
                <w:u w:val="single"/>
              </w:rPr>
              <w:t>230,00€</w:t>
            </w:r>
          </w:p>
        </w:tc>
      </w:tr>
    </w:tbl>
    <w:p w:rsidR="00EB0256" w:rsidRPr="00760187" w:rsidRDefault="00EB0256" w:rsidP="00EB0256">
      <w:pPr>
        <w:rPr>
          <w:rFonts w:cs="Arial"/>
          <w:sz w:val="20"/>
        </w:rPr>
      </w:pPr>
    </w:p>
    <w:p w:rsidR="00EB0256" w:rsidRPr="00760187" w:rsidRDefault="00EB0256" w:rsidP="00EB0256">
      <w:pPr>
        <w:ind w:left="426"/>
        <w:jc w:val="both"/>
        <w:rPr>
          <w:rFonts w:cs="Arial"/>
          <w:color w:val="000000" w:themeColor="text1"/>
          <w:sz w:val="20"/>
        </w:rPr>
      </w:pPr>
      <w:r w:rsidRPr="00760187">
        <w:rPr>
          <w:rFonts w:cs="Arial"/>
          <w:color w:val="000000" w:themeColor="text1"/>
          <w:sz w:val="20"/>
        </w:rPr>
        <w:t>Propuestas de Biblioteca, siempre que haya capacidad de gasto:</w:t>
      </w:r>
    </w:p>
    <w:p w:rsidR="00EB0256" w:rsidRPr="00760187" w:rsidRDefault="00EB0256" w:rsidP="00EB0256">
      <w:pPr>
        <w:jc w:val="both"/>
        <w:rPr>
          <w:rFonts w:cs="Arial"/>
          <w:sz w:val="20"/>
        </w:rPr>
      </w:pPr>
    </w:p>
    <w:p w:rsidR="00EB0256" w:rsidRPr="00760187" w:rsidRDefault="00EB0256" w:rsidP="00EB0256">
      <w:pPr>
        <w:ind w:left="426"/>
        <w:jc w:val="both"/>
        <w:rPr>
          <w:rFonts w:eastAsia="Calibri" w:cs="Arial"/>
          <w:sz w:val="20"/>
        </w:rPr>
      </w:pPr>
      <w:r w:rsidRPr="00760187">
        <w:rPr>
          <w:rFonts w:cs="Arial"/>
          <w:sz w:val="20"/>
        </w:rPr>
        <w:t xml:space="preserve">Transformar la actual suscripción de las bases de datos de la OCDE suscritas con cargo al centro de gasto </w:t>
      </w:r>
      <w:r w:rsidRPr="00760187">
        <w:rPr>
          <w:rFonts w:eastAsia="Calibri" w:cs="Arial"/>
          <w:sz w:val="20"/>
        </w:rPr>
        <w:t>06.10.02.25</w:t>
      </w:r>
    </w:p>
    <w:p w:rsidR="00EB0256" w:rsidRPr="00760187" w:rsidRDefault="00EB0256" w:rsidP="00EB0256">
      <w:pPr>
        <w:ind w:left="426"/>
        <w:jc w:val="both"/>
        <w:rPr>
          <w:rFonts w:eastAsia="Calibri" w:cs="Arial"/>
          <w:sz w:val="20"/>
        </w:rPr>
      </w:pPr>
    </w:p>
    <w:tbl>
      <w:tblPr>
        <w:tblW w:w="962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B0256" w:rsidRPr="00760187" w:rsidTr="00EB0256">
        <w:tc>
          <w:tcPr>
            <w:tcW w:w="4814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OECD : international direct investment statistics</w:t>
            </w:r>
          </w:p>
        </w:tc>
        <w:tc>
          <w:tcPr>
            <w:tcW w:w="4814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228,00€</w:t>
            </w:r>
          </w:p>
        </w:tc>
      </w:tr>
      <w:tr w:rsidR="00EB0256" w:rsidRPr="00760187" w:rsidTr="00EB0256">
        <w:tc>
          <w:tcPr>
            <w:tcW w:w="4814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OECD Statistics on international trade in services</w:t>
            </w:r>
          </w:p>
        </w:tc>
        <w:tc>
          <w:tcPr>
            <w:tcW w:w="4814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228,00€</w:t>
            </w:r>
          </w:p>
        </w:tc>
      </w:tr>
    </w:tbl>
    <w:p w:rsidR="00EB0256" w:rsidRPr="00760187" w:rsidRDefault="00EB0256" w:rsidP="00EB0256">
      <w:pPr>
        <w:shd w:val="clear" w:color="auto" w:fill="FFFFFF"/>
        <w:ind w:left="426"/>
        <w:jc w:val="both"/>
        <w:rPr>
          <w:rFonts w:cs="Arial"/>
          <w:sz w:val="20"/>
        </w:rPr>
      </w:pPr>
      <w:r w:rsidRPr="00760187">
        <w:rPr>
          <w:rFonts w:cs="Arial"/>
          <w:sz w:val="20"/>
        </w:rPr>
        <w:tab/>
      </w:r>
      <w:r w:rsidRPr="00760187">
        <w:rPr>
          <w:rFonts w:cs="Arial"/>
          <w:sz w:val="20"/>
        </w:rPr>
        <w:tab/>
      </w:r>
      <w:r w:rsidRPr="00760187">
        <w:rPr>
          <w:rFonts w:cs="Arial"/>
          <w:sz w:val="20"/>
        </w:rPr>
        <w:tab/>
      </w:r>
      <w:r w:rsidRPr="00760187">
        <w:rPr>
          <w:rFonts w:cs="Arial"/>
          <w:sz w:val="20"/>
        </w:rPr>
        <w:tab/>
      </w:r>
      <w:r w:rsidRPr="00760187">
        <w:rPr>
          <w:rFonts w:cs="Arial"/>
          <w:sz w:val="20"/>
        </w:rPr>
        <w:tab/>
      </w:r>
    </w:p>
    <w:p w:rsidR="00EB0256" w:rsidRPr="00760187" w:rsidRDefault="00EB0256" w:rsidP="00EB0256">
      <w:pPr>
        <w:shd w:val="clear" w:color="auto" w:fill="FFFFFF"/>
        <w:ind w:left="426"/>
        <w:jc w:val="both"/>
        <w:rPr>
          <w:rFonts w:cs="Arial"/>
          <w:sz w:val="20"/>
        </w:rPr>
      </w:pPr>
      <w:r w:rsidRPr="00760187">
        <w:rPr>
          <w:rFonts w:cs="Arial"/>
          <w:sz w:val="20"/>
        </w:rPr>
        <w:t>Por la suscripción a la Biblioteca digital completa de la OCDE por valor de 1000,00€</w:t>
      </w:r>
    </w:p>
    <w:p w:rsidR="00EB0256" w:rsidRPr="00760187" w:rsidRDefault="00EB0256" w:rsidP="00EB0256">
      <w:pPr>
        <w:shd w:val="clear" w:color="auto" w:fill="FFFFFF"/>
        <w:ind w:left="426"/>
        <w:jc w:val="both"/>
        <w:rPr>
          <w:rFonts w:cs="Arial"/>
          <w:sz w:val="20"/>
        </w:rPr>
      </w:pPr>
    </w:p>
    <w:p w:rsidR="00EB0256" w:rsidRPr="00760187" w:rsidRDefault="00EB0256" w:rsidP="00EB0256">
      <w:pPr>
        <w:shd w:val="clear" w:color="auto" w:fill="FFFFFF"/>
        <w:ind w:left="426"/>
        <w:jc w:val="both"/>
        <w:rPr>
          <w:rFonts w:cs="Arial"/>
          <w:sz w:val="20"/>
        </w:rPr>
      </w:pPr>
      <w:r w:rsidRPr="00760187">
        <w:rPr>
          <w:rFonts w:cs="Arial"/>
          <w:sz w:val="20"/>
        </w:rPr>
        <w:t>Propuesta para cancelar los siguientes títulos de revista por su bajo uso</w:t>
      </w:r>
    </w:p>
    <w:p w:rsidR="00EB0256" w:rsidRPr="00760187" w:rsidRDefault="00EB0256" w:rsidP="00EB0256">
      <w:pPr>
        <w:shd w:val="clear" w:color="auto" w:fill="FFFFFF"/>
        <w:ind w:left="426"/>
        <w:jc w:val="both"/>
        <w:rPr>
          <w:rFonts w:cs="Arial"/>
          <w:sz w:val="20"/>
        </w:rPr>
      </w:pPr>
    </w:p>
    <w:tbl>
      <w:tblPr>
        <w:tblW w:w="962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842"/>
        <w:gridCol w:w="851"/>
        <w:gridCol w:w="992"/>
        <w:gridCol w:w="896"/>
        <w:gridCol w:w="706"/>
        <w:gridCol w:w="831"/>
      </w:tblGrid>
      <w:tr w:rsidR="00EB0256" w:rsidRPr="00760187" w:rsidTr="00760187">
        <w:trPr>
          <w:trHeight w:val="326"/>
        </w:trPr>
        <w:tc>
          <w:tcPr>
            <w:tcW w:w="3510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Título</w:t>
            </w:r>
          </w:p>
        </w:tc>
        <w:tc>
          <w:tcPr>
            <w:tcW w:w="184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Precio</w:t>
            </w:r>
          </w:p>
        </w:tc>
        <w:tc>
          <w:tcPr>
            <w:tcW w:w="85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2021</w:t>
            </w:r>
          </w:p>
        </w:tc>
        <w:tc>
          <w:tcPr>
            <w:tcW w:w="99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2020</w:t>
            </w:r>
          </w:p>
        </w:tc>
        <w:tc>
          <w:tcPr>
            <w:tcW w:w="89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2019</w:t>
            </w:r>
          </w:p>
        </w:tc>
        <w:tc>
          <w:tcPr>
            <w:tcW w:w="70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2018</w:t>
            </w:r>
          </w:p>
        </w:tc>
        <w:tc>
          <w:tcPr>
            <w:tcW w:w="83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2017</w:t>
            </w:r>
          </w:p>
        </w:tc>
      </w:tr>
      <w:tr w:rsidR="00EB0256" w:rsidRPr="00760187" w:rsidTr="00760187">
        <w:tc>
          <w:tcPr>
            <w:tcW w:w="3510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  <w:highlight w:val="white"/>
              </w:rPr>
              <w:t>Marine geodesy</w:t>
            </w:r>
          </w:p>
        </w:tc>
        <w:tc>
          <w:tcPr>
            <w:tcW w:w="184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eastAsia="Calibri" w:cs="Arial"/>
                <w:sz w:val="20"/>
              </w:rPr>
              <w:t>901,00 €</w:t>
            </w:r>
          </w:p>
        </w:tc>
        <w:tc>
          <w:tcPr>
            <w:tcW w:w="85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1</w:t>
            </w:r>
          </w:p>
        </w:tc>
        <w:tc>
          <w:tcPr>
            <w:tcW w:w="89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8</w:t>
            </w:r>
          </w:p>
        </w:tc>
        <w:tc>
          <w:tcPr>
            <w:tcW w:w="70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4</w:t>
            </w:r>
          </w:p>
        </w:tc>
        <w:tc>
          <w:tcPr>
            <w:tcW w:w="83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</w:t>
            </w:r>
          </w:p>
        </w:tc>
      </w:tr>
      <w:tr w:rsidR="00EB0256" w:rsidRPr="00760187" w:rsidTr="00760187">
        <w:trPr>
          <w:trHeight w:val="228"/>
        </w:trPr>
        <w:tc>
          <w:tcPr>
            <w:tcW w:w="3510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  <w:highlight w:val="white"/>
              </w:rPr>
              <w:t>Regional and Federal Studies</w:t>
            </w:r>
          </w:p>
        </w:tc>
        <w:tc>
          <w:tcPr>
            <w:tcW w:w="184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752,00 €</w:t>
            </w:r>
          </w:p>
        </w:tc>
        <w:tc>
          <w:tcPr>
            <w:tcW w:w="85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</w:t>
            </w:r>
          </w:p>
        </w:tc>
        <w:tc>
          <w:tcPr>
            <w:tcW w:w="992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2</w:t>
            </w:r>
          </w:p>
        </w:tc>
        <w:tc>
          <w:tcPr>
            <w:tcW w:w="89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4</w:t>
            </w:r>
          </w:p>
        </w:tc>
        <w:tc>
          <w:tcPr>
            <w:tcW w:w="706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4</w:t>
            </w:r>
          </w:p>
        </w:tc>
        <w:tc>
          <w:tcPr>
            <w:tcW w:w="831" w:type="dxa"/>
          </w:tcPr>
          <w:p w:rsidR="00EB0256" w:rsidRPr="00760187" w:rsidRDefault="00EB0256" w:rsidP="00676403">
            <w:pPr>
              <w:jc w:val="both"/>
              <w:rPr>
                <w:rFonts w:cs="Arial"/>
                <w:sz w:val="20"/>
              </w:rPr>
            </w:pPr>
            <w:r w:rsidRPr="00760187">
              <w:rPr>
                <w:rFonts w:cs="Arial"/>
                <w:sz w:val="20"/>
              </w:rPr>
              <w:t>0</w:t>
            </w:r>
          </w:p>
        </w:tc>
      </w:tr>
    </w:tbl>
    <w:p w:rsidR="006C09F7" w:rsidRPr="00354BC4" w:rsidRDefault="006C09F7" w:rsidP="006C09F7">
      <w:pPr>
        <w:jc w:val="both"/>
        <w:rPr>
          <w:rFonts w:cs="Arial"/>
          <w:color w:val="000000" w:themeColor="text1"/>
          <w:sz w:val="20"/>
        </w:rPr>
      </w:pPr>
      <w:bookmarkStart w:id="0" w:name="_heading=h.sxv7c46mkyly" w:colFirst="0" w:colLast="0"/>
      <w:bookmarkEnd w:id="0"/>
    </w:p>
    <w:p w:rsidR="006C09F7" w:rsidRPr="002F69B2" w:rsidRDefault="006C09F7" w:rsidP="006C09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2F69B2">
        <w:rPr>
          <w:rFonts w:ascii="Arial" w:hAnsi="Arial" w:cs="Arial"/>
          <w:color w:val="000000" w:themeColor="text1"/>
          <w:sz w:val="20"/>
        </w:rPr>
        <w:t>D. Felipe Serrano presenta el Presupuesto 202</w:t>
      </w:r>
      <w:r w:rsidR="006566E9">
        <w:rPr>
          <w:rFonts w:ascii="Arial" w:hAnsi="Arial" w:cs="Arial"/>
          <w:color w:val="000000" w:themeColor="text1"/>
          <w:sz w:val="20"/>
        </w:rPr>
        <w:t>2</w:t>
      </w:r>
      <w:r w:rsidRPr="002F69B2">
        <w:rPr>
          <w:rFonts w:ascii="Arial" w:hAnsi="Arial" w:cs="Arial"/>
          <w:color w:val="000000" w:themeColor="text1"/>
          <w:sz w:val="20"/>
        </w:rPr>
        <w:t xml:space="preserve"> incidiendo en los recortes que se han tenido que asumir debido a los recortes que a su vez ha hecho la Junta de Andalucía a las Universidades, tras lo que da la palabra a D. Sebastián Jarillo que detalla cada una de las partidas e insiste</w:t>
      </w:r>
      <w:r w:rsidR="009A0205">
        <w:rPr>
          <w:rFonts w:ascii="Arial" w:hAnsi="Arial" w:cs="Arial"/>
          <w:color w:val="000000" w:themeColor="text1"/>
          <w:sz w:val="20"/>
        </w:rPr>
        <w:t>, por un lado</w:t>
      </w:r>
      <w:r w:rsidRPr="002F69B2">
        <w:rPr>
          <w:rFonts w:ascii="Arial" w:hAnsi="Arial" w:cs="Arial"/>
          <w:color w:val="000000" w:themeColor="text1"/>
          <w:sz w:val="20"/>
        </w:rPr>
        <w:t xml:space="preserve"> en que se ha hecho todo lo posible por ahorrar en formatos intentando mantener los contenidos</w:t>
      </w:r>
      <w:r w:rsidR="009A0205">
        <w:rPr>
          <w:rFonts w:ascii="Arial" w:hAnsi="Arial" w:cs="Arial"/>
          <w:color w:val="000000" w:themeColor="text1"/>
          <w:sz w:val="20"/>
        </w:rPr>
        <w:t>, y por otro, en el compromiso de la Gerencia en aumentar el presupuesto con partidas extraordinarias si al final de ejercicio no se ha podido asumir el gasto en bibliografía recomendada</w:t>
      </w:r>
      <w:r w:rsidRPr="002F69B2">
        <w:rPr>
          <w:rFonts w:ascii="Arial" w:hAnsi="Arial" w:cs="Arial"/>
          <w:color w:val="000000" w:themeColor="text1"/>
          <w:sz w:val="20"/>
        </w:rPr>
        <w:t>. El Presupuesto 202</w:t>
      </w:r>
      <w:r w:rsidR="006566E9">
        <w:rPr>
          <w:rFonts w:ascii="Arial" w:hAnsi="Arial" w:cs="Arial"/>
          <w:color w:val="000000" w:themeColor="text1"/>
          <w:sz w:val="20"/>
        </w:rPr>
        <w:t>2</w:t>
      </w:r>
      <w:r w:rsidRPr="002F69B2">
        <w:rPr>
          <w:rFonts w:ascii="Arial" w:hAnsi="Arial" w:cs="Arial"/>
          <w:color w:val="000000" w:themeColor="text1"/>
          <w:sz w:val="20"/>
        </w:rPr>
        <w:t xml:space="preserve"> queda fijado de la siguiente manera:</w:t>
      </w:r>
    </w:p>
    <w:p w:rsidR="006C09F7" w:rsidRPr="002F69B2" w:rsidRDefault="006C09F7" w:rsidP="006C09F7">
      <w:pPr>
        <w:jc w:val="both"/>
        <w:rPr>
          <w:rFonts w:cs="Arial"/>
          <w:color w:val="000000" w:themeColor="text1"/>
          <w:sz w:val="20"/>
        </w:rPr>
      </w:pPr>
    </w:p>
    <w:p w:rsidR="006C09F7" w:rsidRPr="002F69B2" w:rsidRDefault="006C09F7" w:rsidP="006C09F7">
      <w:pPr>
        <w:ind w:left="360"/>
        <w:jc w:val="both"/>
        <w:rPr>
          <w:rFonts w:cs="Arial"/>
          <w:color w:val="000000" w:themeColor="text1"/>
          <w:sz w:val="20"/>
        </w:rPr>
      </w:pPr>
      <w:r w:rsidRPr="002F69B2">
        <w:rPr>
          <w:rFonts w:cs="Arial"/>
          <w:color w:val="000000" w:themeColor="text1"/>
          <w:sz w:val="20"/>
        </w:rPr>
        <w:t>Adquisiciones bibliográficas: 202.000,00 €</w:t>
      </w:r>
    </w:p>
    <w:p w:rsidR="006C09F7" w:rsidRDefault="006C09F7" w:rsidP="006C09F7">
      <w:pPr>
        <w:ind w:left="360"/>
        <w:jc w:val="both"/>
        <w:rPr>
          <w:rFonts w:cs="Arial"/>
          <w:color w:val="000000" w:themeColor="text1"/>
          <w:sz w:val="20"/>
        </w:rPr>
      </w:pPr>
      <w:r w:rsidRPr="002F69B2">
        <w:rPr>
          <w:rFonts w:cs="Arial"/>
          <w:color w:val="000000" w:themeColor="text1"/>
          <w:sz w:val="20"/>
        </w:rPr>
        <w:t>Hemeroteca: 475.400,00 €</w:t>
      </w:r>
    </w:p>
    <w:p w:rsidR="00364D26" w:rsidRDefault="00364D26" w:rsidP="006C09F7">
      <w:pPr>
        <w:ind w:left="360"/>
        <w:jc w:val="both"/>
        <w:rPr>
          <w:rFonts w:cs="Arial"/>
          <w:color w:val="000000" w:themeColor="text1"/>
          <w:sz w:val="20"/>
        </w:rPr>
      </w:pPr>
    </w:p>
    <w:p w:rsidR="00364D26" w:rsidRPr="002F69B2" w:rsidRDefault="00364D26" w:rsidP="006C09F7">
      <w:pPr>
        <w:ind w:left="360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D. Sebastián Jarillo también detalla la propuesta de presupuesto 2022 del Consorcio de Bibliotecas Universitarias de Andalucía, explicando el porcentaje que debe aportar la Universidad de Jaén.</w:t>
      </w:r>
    </w:p>
    <w:p w:rsidR="00364D26" w:rsidRPr="00AA678B" w:rsidRDefault="00364D26" w:rsidP="00A87DE0">
      <w:pPr>
        <w:jc w:val="both"/>
        <w:rPr>
          <w:rFonts w:cs="Arial"/>
          <w:sz w:val="20"/>
        </w:rPr>
      </w:pPr>
    </w:p>
    <w:p w:rsidR="00C41182" w:rsidRPr="00C41182" w:rsidRDefault="001C6D37" w:rsidP="00C41182">
      <w:pPr>
        <w:pStyle w:val="Prrafodelista"/>
        <w:numPr>
          <w:ilvl w:val="0"/>
          <w:numId w:val="1"/>
        </w:numPr>
        <w:jc w:val="both"/>
        <w:rPr>
          <w:rFonts w:cs="Arial"/>
          <w:sz w:val="20"/>
        </w:rPr>
      </w:pPr>
      <w:r w:rsidRPr="00AA678B">
        <w:rPr>
          <w:rFonts w:ascii="Arial" w:hAnsi="Arial" w:cs="Arial"/>
          <w:sz w:val="20"/>
        </w:rPr>
        <w:t xml:space="preserve">D. Felipe Serrano presenta </w:t>
      </w:r>
      <w:r w:rsidR="00AE1233" w:rsidRPr="00AA678B">
        <w:rPr>
          <w:rFonts w:ascii="Arial" w:hAnsi="Arial" w:cs="Arial"/>
          <w:sz w:val="20"/>
        </w:rPr>
        <w:t xml:space="preserve">el </w:t>
      </w:r>
      <w:r w:rsidR="002A1639" w:rsidRPr="00AA678B">
        <w:rPr>
          <w:rFonts w:ascii="Arial" w:hAnsi="Arial" w:cs="Arial"/>
          <w:sz w:val="20"/>
        </w:rPr>
        <w:t>Cuadro de Mando Integral de la BUJA 2021</w:t>
      </w:r>
      <w:r w:rsidRPr="00AA678B">
        <w:rPr>
          <w:rFonts w:ascii="Arial" w:hAnsi="Arial" w:cs="Arial"/>
          <w:sz w:val="20"/>
        </w:rPr>
        <w:t xml:space="preserve">, </w:t>
      </w:r>
      <w:r w:rsidR="00AE1233" w:rsidRPr="00AA678B">
        <w:rPr>
          <w:rFonts w:ascii="Arial" w:hAnsi="Arial" w:cs="Arial"/>
          <w:sz w:val="20"/>
        </w:rPr>
        <w:t xml:space="preserve">indicando los aspectos más significativos, </w:t>
      </w:r>
      <w:r w:rsidRPr="00AA678B">
        <w:rPr>
          <w:rFonts w:ascii="Arial" w:hAnsi="Arial" w:cs="Arial"/>
          <w:sz w:val="20"/>
        </w:rPr>
        <w:t xml:space="preserve">tras lo que da la palabra a D. Sebastián Jarillo, que detalla </w:t>
      </w:r>
      <w:r w:rsidR="00AA678B" w:rsidRPr="00AA678B">
        <w:rPr>
          <w:rFonts w:ascii="Arial" w:hAnsi="Arial" w:cs="Arial"/>
          <w:sz w:val="20"/>
        </w:rPr>
        <w:t>los resultados de la Encuesta de opinión y satisfacción del PAS</w:t>
      </w:r>
      <w:r w:rsidR="009559E6">
        <w:rPr>
          <w:rFonts w:ascii="Arial" w:hAnsi="Arial" w:cs="Arial"/>
          <w:sz w:val="20"/>
        </w:rPr>
        <w:t xml:space="preserve"> e insiste en las acciones de mejora que se han formalizado en base a dichos resultados.</w:t>
      </w:r>
    </w:p>
    <w:p w:rsidR="00C41182" w:rsidRPr="00C41182" w:rsidRDefault="00C41182" w:rsidP="00C41182">
      <w:pPr>
        <w:pStyle w:val="Prrafodelista"/>
        <w:ind w:left="360"/>
        <w:jc w:val="both"/>
        <w:rPr>
          <w:rFonts w:cs="Arial"/>
          <w:sz w:val="20"/>
        </w:rPr>
      </w:pPr>
    </w:p>
    <w:p w:rsidR="00C41182" w:rsidRPr="00C41182" w:rsidRDefault="00C41182" w:rsidP="00C41182">
      <w:pPr>
        <w:pStyle w:val="Prrafodelista"/>
        <w:numPr>
          <w:ilvl w:val="0"/>
          <w:numId w:val="1"/>
        </w:numPr>
        <w:jc w:val="both"/>
        <w:rPr>
          <w:rFonts w:cs="Arial"/>
          <w:sz w:val="20"/>
        </w:rPr>
      </w:pPr>
      <w:r w:rsidRPr="00C41182">
        <w:rPr>
          <w:rFonts w:ascii="Arial" w:hAnsi="Arial" w:cs="Arial"/>
          <w:sz w:val="20"/>
        </w:rPr>
        <w:lastRenderedPageBreak/>
        <w:t xml:space="preserve">D. Felipe Serrano </w:t>
      </w:r>
      <w:r>
        <w:rPr>
          <w:rFonts w:ascii="Arial" w:hAnsi="Arial" w:cs="Arial"/>
          <w:sz w:val="20"/>
        </w:rPr>
        <w:t xml:space="preserve">indica cuales son las medidas COVID que todavía afectan a Biblioteca: uso obligatorio de mascarilla y cierre de las salas de estudio en horarios extraordinarios. </w:t>
      </w:r>
      <w:r w:rsidRPr="00C41182">
        <w:rPr>
          <w:rFonts w:ascii="Arial" w:hAnsi="Arial" w:cs="Arial"/>
          <w:sz w:val="20"/>
        </w:rPr>
        <w:t xml:space="preserve">D. Sebastián Jarillo, detalla </w:t>
      </w:r>
      <w:r>
        <w:rPr>
          <w:rFonts w:ascii="Arial" w:hAnsi="Arial" w:cs="Arial"/>
          <w:sz w:val="20"/>
        </w:rPr>
        <w:t xml:space="preserve">la información explicando cuales son las condiciones que el Servicio de Prevención de la UJA establece para que estas medias se puedan flexibilizar más, sobre todo </w:t>
      </w:r>
      <w:r w:rsidR="00B31AAF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 lo </w:t>
      </w:r>
      <w:r w:rsidR="00B31AAF">
        <w:rPr>
          <w:rFonts w:ascii="Arial" w:hAnsi="Arial" w:cs="Arial"/>
          <w:sz w:val="20"/>
        </w:rPr>
        <w:t>relativo a</w:t>
      </w:r>
      <w:r>
        <w:rPr>
          <w:rFonts w:ascii="Arial" w:hAnsi="Arial" w:cs="Arial"/>
          <w:sz w:val="20"/>
        </w:rPr>
        <w:t xml:space="preserve"> apertura de salas de estudio en horarios extraordinarios con motivo de la convocatoria de exámenes.</w:t>
      </w:r>
    </w:p>
    <w:p w:rsidR="00C41182" w:rsidRPr="00C41182" w:rsidRDefault="00C41182" w:rsidP="00C41182">
      <w:pPr>
        <w:pStyle w:val="Prrafodelista"/>
        <w:rPr>
          <w:rFonts w:ascii="Arial" w:hAnsi="Arial" w:cs="Arial"/>
          <w:sz w:val="20"/>
        </w:rPr>
      </w:pPr>
    </w:p>
    <w:p w:rsidR="003463BF" w:rsidRPr="003463BF" w:rsidRDefault="00C41182" w:rsidP="00364D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</w:rPr>
      </w:pPr>
      <w:r w:rsidRPr="003463BF">
        <w:rPr>
          <w:rFonts w:ascii="Arial" w:hAnsi="Arial" w:cs="Arial"/>
          <w:sz w:val="20"/>
        </w:rPr>
        <w:t xml:space="preserve">D. Felipe Serrano </w:t>
      </w:r>
      <w:r w:rsidR="00364D26">
        <w:rPr>
          <w:rFonts w:ascii="Arial" w:hAnsi="Arial" w:cs="Arial"/>
          <w:sz w:val="20"/>
        </w:rPr>
        <w:t>explica el nivel de avance d</w:t>
      </w:r>
      <w:r w:rsidR="003463BF" w:rsidRPr="003463BF">
        <w:rPr>
          <w:rFonts w:ascii="Arial" w:hAnsi="Arial" w:cs="Arial"/>
          <w:sz w:val="20"/>
        </w:rPr>
        <w:t>el Proyecto Centro de Recursos para el Aprendizaje y la Investigación (CRAI)</w:t>
      </w:r>
      <w:r w:rsidR="00364D26">
        <w:rPr>
          <w:rFonts w:ascii="Arial" w:hAnsi="Arial" w:cs="Arial"/>
          <w:sz w:val="20"/>
        </w:rPr>
        <w:t xml:space="preserve"> y presenta los planos propuestos por el estudio de arquitectos al que se le ha encomendado dicho proyecto, </w:t>
      </w:r>
      <w:r w:rsidR="00364D26" w:rsidRPr="00364D26">
        <w:rPr>
          <w:rFonts w:ascii="Arial" w:hAnsi="Arial" w:cs="Arial"/>
          <w:sz w:val="20"/>
        </w:rPr>
        <w:t xml:space="preserve">tras lo que da la palabra a D. Sebastián Jarillo que detalla </w:t>
      </w:r>
      <w:r w:rsidR="00364D26">
        <w:rPr>
          <w:rFonts w:ascii="Arial" w:hAnsi="Arial" w:cs="Arial"/>
          <w:sz w:val="20"/>
        </w:rPr>
        <w:t xml:space="preserve">las distintas zonas que se crearán, insistiendo en nuevos equipamientos y mobiliario. </w:t>
      </w:r>
    </w:p>
    <w:p w:rsidR="003463BF" w:rsidRPr="00CC05BB" w:rsidRDefault="003463BF" w:rsidP="003463BF">
      <w:pPr>
        <w:pStyle w:val="Prrafodelista"/>
        <w:rPr>
          <w:rFonts w:ascii="Arial" w:hAnsi="Arial" w:cs="Arial"/>
          <w:sz w:val="20"/>
        </w:rPr>
      </w:pPr>
    </w:p>
    <w:p w:rsidR="00D74421" w:rsidRPr="00CC05BB" w:rsidRDefault="00D74421" w:rsidP="008F39E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C05BB">
        <w:rPr>
          <w:rFonts w:ascii="Arial" w:hAnsi="Arial" w:cs="Arial"/>
          <w:sz w:val="20"/>
        </w:rPr>
        <w:t>En tiempo de ruegos y preguntas:</w:t>
      </w:r>
    </w:p>
    <w:p w:rsidR="00D74421" w:rsidRPr="00CC05BB" w:rsidRDefault="00D74421" w:rsidP="00D74421">
      <w:pPr>
        <w:pStyle w:val="Prrafodelista"/>
        <w:rPr>
          <w:rFonts w:ascii="Arial" w:hAnsi="Arial" w:cs="Arial"/>
          <w:sz w:val="20"/>
        </w:rPr>
      </w:pPr>
    </w:p>
    <w:p w:rsidR="00D74421" w:rsidRDefault="00CC05BB" w:rsidP="00D74421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CC05BB">
        <w:rPr>
          <w:rFonts w:ascii="Arial" w:hAnsi="Arial" w:cs="Arial"/>
          <w:sz w:val="20"/>
        </w:rPr>
        <w:t xml:space="preserve">Dña. Manuela Merino </w:t>
      </w:r>
      <w:r w:rsidR="00D74421" w:rsidRPr="00CC05BB">
        <w:rPr>
          <w:rFonts w:ascii="Arial" w:hAnsi="Arial" w:cs="Arial"/>
          <w:sz w:val="20"/>
        </w:rPr>
        <w:t xml:space="preserve">solicita información sobre </w:t>
      </w:r>
      <w:r w:rsidRPr="00CC05BB">
        <w:rPr>
          <w:rFonts w:ascii="Arial" w:hAnsi="Arial" w:cs="Arial"/>
          <w:sz w:val="20"/>
        </w:rPr>
        <w:t>el Portal de la Investigación de la UJA</w:t>
      </w:r>
      <w:r w:rsidR="00D74421" w:rsidRPr="00CC05BB">
        <w:rPr>
          <w:rFonts w:ascii="Arial" w:hAnsi="Arial" w:cs="Arial"/>
          <w:sz w:val="20"/>
        </w:rPr>
        <w:t xml:space="preserve">. D. Sebastián Jarillo responde detallando </w:t>
      </w:r>
      <w:r w:rsidRPr="00CC05BB">
        <w:rPr>
          <w:rFonts w:ascii="Arial" w:hAnsi="Arial" w:cs="Arial"/>
          <w:sz w:val="20"/>
        </w:rPr>
        <w:t>el estado del proyecto, el cual está previsto que se presente en enero-febrero de 2022.</w:t>
      </w:r>
    </w:p>
    <w:p w:rsidR="00845DE7" w:rsidRDefault="00845DE7" w:rsidP="00D74421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AC087F" w:rsidRDefault="00845DE7" w:rsidP="00845DE7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CC05BB">
        <w:rPr>
          <w:rFonts w:ascii="Arial" w:hAnsi="Arial" w:cs="Arial"/>
          <w:sz w:val="20"/>
        </w:rPr>
        <w:t xml:space="preserve">Dña. Manuela Merino solicita información sobre </w:t>
      </w:r>
      <w:r w:rsidR="00522C13">
        <w:rPr>
          <w:rFonts w:ascii="Arial" w:hAnsi="Arial" w:cs="Arial"/>
          <w:sz w:val="20"/>
        </w:rPr>
        <w:t xml:space="preserve">cuál ha sido el incremento de la participación económica de la UJA en el CBUA debido a la firma de acuerdos transformativos. D. Sebastián Jarillo responde que el aumento total CBUA ha sido aproximadamente de 1.000.000€, de los cuales a la UJA corresponden unos 65.000€. </w:t>
      </w:r>
      <w:r w:rsidRPr="00CC05BB">
        <w:rPr>
          <w:rFonts w:ascii="Arial" w:hAnsi="Arial" w:cs="Arial"/>
          <w:sz w:val="20"/>
        </w:rPr>
        <w:t xml:space="preserve">D. Sebastián Jarillo </w:t>
      </w:r>
      <w:r w:rsidR="00522C13">
        <w:rPr>
          <w:rFonts w:ascii="Arial" w:hAnsi="Arial" w:cs="Arial"/>
          <w:sz w:val="20"/>
        </w:rPr>
        <w:t xml:space="preserve">recuerda que los acuerdos transformativos han sido firmados por la </w:t>
      </w:r>
      <w:r>
        <w:rPr>
          <w:rFonts w:ascii="Arial" w:hAnsi="Arial" w:cs="Arial"/>
          <w:sz w:val="20"/>
        </w:rPr>
        <w:t>CRUE</w:t>
      </w:r>
      <w:r w:rsidR="00AC087F">
        <w:rPr>
          <w:rFonts w:ascii="Arial" w:hAnsi="Arial" w:cs="Arial"/>
          <w:sz w:val="20"/>
        </w:rPr>
        <w:t>.</w:t>
      </w:r>
    </w:p>
    <w:p w:rsidR="00F25C99" w:rsidRDefault="00F25C99" w:rsidP="00845DE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522C13" w:rsidRDefault="00522C13" w:rsidP="00845DE7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522C13">
        <w:rPr>
          <w:rFonts w:ascii="Arial" w:hAnsi="Arial" w:cs="Arial"/>
          <w:sz w:val="20"/>
        </w:rPr>
        <w:t>Dña. Manuela Merino solicita</w:t>
      </w:r>
      <w:r>
        <w:rPr>
          <w:rFonts w:ascii="Arial" w:hAnsi="Arial" w:cs="Arial"/>
          <w:sz w:val="20"/>
        </w:rPr>
        <w:t xml:space="preserve"> que quede constancia del </w:t>
      </w:r>
      <w:r w:rsidRPr="00522C13">
        <w:rPr>
          <w:rFonts w:ascii="Arial" w:hAnsi="Arial" w:cs="Arial"/>
          <w:sz w:val="20"/>
        </w:rPr>
        <w:t xml:space="preserve">descontento de </w:t>
      </w:r>
      <w:r>
        <w:rPr>
          <w:rFonts w:ascii="Arial" w:hAnsi="Arial" w:cs="Arial"/>
          <w:sz w:val="20"/>
        </w:rPr>
        <w:t>su</w:t>
      </w:r>
      <w:r w:rsidRPr="00522C13">
        <w:rPr>
          <w:rFonts w:ascii="Arial" w:hAnsi="Arial" w:cs="Arial"/>
          <w:sz w:val="20"/>
        </w:rPr>
        <w:t xml:space="preserve"> Departamento por la supresión del capítulo de </w:t>
      </w:r>
      <w:r>
        <w:rPr>
          <w:rFonts w:ascii="Arial" w:hAnsi="Arial" w:cs="Arial"/>
          <w:sz w:val="20"/>
        </w:rPr>
        <w:t>B</w:t>
      </w:r>
      <w:r w:rsidRPr="00522C13">
        <w:rPr>
          <w:rFonts w:ascii="Arial" w:hAnsi="Arial" w:cs="Arial"/>
          <w:sz w:val="20"/>
        </w:rPr>
        <w:t xml:space="preserve">iblioteca en los centros de gasto de los </w:t>
      </w:r>
      <w:r>
        <w:rPr>
          <w:rFonts w:ascii="Arial" w:hAnsi="Arial" w:cs="Arial"/>
          <w:sz w:val="20"/>
        </w:rPr>
        <w:t>D</w:t>
      </w:r>
      <w:r w:rsidRPr="00522C13">
        <w:rPr>
          <w:rFonts w:ascii="Arial" w:hAnsi="Arial" w:cs="Arial"/>
          <w:sz w:val="20"/>
        </w:rPr>
        <w:t>epartamentos y su inclusión en el capítulo 2.</w:t>
      </w:r>
      <w:r>
        <w:rPr>
          <w:rFonts w:ascii="Arial" w:hAnsi="Arial" w:cs="Arial"/>
          <w:sz w:val="20"/>
        </w:rPr>
        <w:t xml:space="preserve"> </w:t>
      </w:r>
    </w:p>
    <w:p w:rsidR="00F25C99" w:rsidRDefault="00F25C99" w:rsidP="00845DE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FD6C74" w:rsidRPr="00671085" w:rsidRDefault="00401BE1" w:rsidP="00401BE1">
      <w:pPr>
        <w:tabs>
          <w:tab w:val="left" w:pos="1455"/>
        </w:tabs>
        <w:jc w:val="both"/>
        <w:rPr>
          <w:rFonts w:cs="Arial"/>
          <w:color w:val="000000" w:themeColor="text1"/>
          <w:sz w:val="20"/>
        </w:rPr>
      </w:pPr>
      <w:r w:rsidRPr="00671085">
        <w:rPr>
          <w:rFonts w:cs="Arial"/>
          <w:color w:val="000000" w:themeColor="text1"/>
          <w:sz w:val="20"/>
        </w:rPr>
        <w:tab/>
      </w:r>
    </w:p>
    <w:p w:rsidR="000F13D7" w:rsidRPr="00DB546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DB546A">
        <w:rPr>
          <w:rFonts w:cs="Arial"/>
          <w:color w:val="000000"/>
          <w:sz w:val="20"/>
          <w:lang w:val="es-ES_tradnl"/>
        </w:rPr>
        <w:t>Sin más temas que tratar se da por concluida la reunión a las 1</w:t>
      </w:r>
      <w:r w:rsidR="00553A66">
        <w:rPr>
          <w:rFonts w:cs="Arial"/>
          <w:color w:val="000000"/>
          <w:sz w:val="20"/>
          <w:lang w:val="es-ES_tradnl"/>
        </w:rPr>
        <w:t>2</w:t>
      </w:r>
      <w:r w:rsidR="003C20A2" w:rsidRPr="00DB546A">
        <w:rPr>
          <w:rFonts w:cs="Arial"/>
          <w:color w:val="000000"/>
          <w:sz w:val="20"/>
          <w:lang w:val="es-ES_tradnl"/>
        </w:rPr>
        <w:t>:</w:t>
      </w:r>
      <w:r w:rsidR="00E6616F">
        <w:rPr>
          <w:rFonts w:cs="Arial"/>
          <w:color w:val="000000"/>
          <w:sz w:val="20"/>
          <w:lang w:val="es-ES_tradnl"/>
        </w:rPr>
        <w:t>0</w:t>
      </w:r>
      <w:r w:rsidR="003C20A2" w:rsidRPr="00DB546A">
        <w:rPr>
          <w:rFonts w:cs="Arial"/>
          <w:color w:val="000000"/>
          <w:sz w:val="20"/>
          <w:lang w:val="es-ES_tradnl"/>
        </w:rPr>
        <w:t>0</w:t>
      </w:r>
      <w:r w:rsidR="009D298B" w:rsidRPr="00DB546A">
        <w:rPr>
          <w:rFonts w:cs="Arial"/>
          <w:color w:val="000000"/>
          <w:sz w:val="20"/>
          <w:lang w:val="es-ES_tradnl"/>
        </w:rPr>
        <w:t xml:space="preserve"> horas</w:t>
      </w:r>
      <w:r w:rsidR="00977303" w:rsidRPr="00DB546A">
        <w:rPr>
          <w:rFonts w:cs="Arial"/>
          <w:color w:val="000000"/>
          <w:sz w:val="20"/>
          <w:lang w:val="es-ES_tradnl"/>
        </w:rPr>
        <w:t>.</w:t>
      </w: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</w:p>
    <w:p w:rsidR="000F13D7" w:rsidRPr="0067708A" w:rsidRDefault="000F13D7">
      <w:pPr>
        <w:jc w:val="both"/>
        <w:rPr>
          <w:rFonts w:cs="Arial"/>
          <w:color w:val="000000"/>
          <w:sz w:val="20"/>
          <w:lang w:val="es-ES_tradnl"/>
        </w:rPr>
      </w:pPr>
      <w:r w:rsidRPr="0067708A">
        <w:rPr>
          <w:rFonts w:cs="Arial"/>
          <w:color w:val="000000"/>
          <w:sz w:val="20"/>
          <w:lang w:val="es-ES_tradnl"/>
        </w:rPr>
        <w:t xml:space="preserve">Universidad de Jaén. </w:t>
      </w:r>
      <w:r w:rsidR="00E6616F">
        <w:rPr>
          <w:rFonts w:cs="Arial"/>
          <w:color w:val="000000"/>
          <w:sz w:val="20"/>
          <w:lang w:val="es-ES_tradnl"/>
        </w:rPr>
        <w:t>24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</w:t>
      </w:r>
      <w:r w:rsidR="00E6616F">
        <w:rPr>
          <w:rFonts w:cs="Arial"/>
          <w:color w:val="000000"/>
          <w:sz w:val="20"/>
          <w:lang w:val="es-ES_tradnl"/>
        </w:rPr>
        <w:t>noviembre</w:t>
      </w:r>
      <w:r w:rsidR="002C005F" w:rsidRPr="0067708A">
        <w:rPr>
          <w:rFonts w:cs="Arial"/>
          <w:color w:val="000000"/>
          <w:sz w:val="20"/>
          <w:lang w:val="es-ES_tradnl"/>
        </w:rPr>
        <w:t xml:space="preserve"> de 20</w:t>
      </w:r>
      <w:r w:rsidR="00CF2C38">
        <w:rPr>
          <w:rFonts w:cs="Arial"/>
          <w:color w:val="000000"/>
          <w:sz w:val="20"/>
          <w:lang w:val="es-ES_tradnl"/>
        </w:rPr>
        <w:t>2</w:t>
      </w:r>
      <w:r w:rsidR="00553A66">
        <w:rPr>
          <w:rFonts w:cs="Arial"/>
          <w:color w:val="000000"/>
          <w:sz w:val="20"/>
          <w:lang w:val="es-ES_tradnl"/>
        </w:rPr>
        <w:t>1</w:t>
      </w:r>
    </w:p>
    <w:p w:rsidR="00F25C99" w:rsidRDefault="00F25C99">
      <w:pPr>
        <w:jc w:val="both"/>
        <w:rPr>
          <w:rFonts w:cs="Arial"/>
          <w:color w:val="000000"/>
          <w:sz w:val="20"/>
          <w:lang w:val="es-ES_tradnl"/>
        </w:rPr>
      </w:pPr>
      <w:bookmarkStart w:id="1" w:name="_GoBack"/>
      <w:bookmarkEnd w:id="1"/>
    </w:p>
    <w:sectPr w:rsidR="00F25C99" w:rsidSect="00B22042">
      <w:footerReference w:type="even" r:id="rId10"/>
      <w:footerReference w:type="default" r:id="rId11"/>
      <w:pgSz w:w="11906" w:h="16838" w:code="9"/>
      <w:pgMar w:top="1134" w:right="1134" w:bottom="90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BB" w:rsidRDefault="008B27BB" w:rsidP="00422DCD">
      <w:r>
        <w:separator/>
      </w:r>
    </w:p>
  </w:endnote>
  <w:endnote w:type="continuationSeparator" w:id="0">
    <w:p w:rsidR="008B27BB" w:rsidRDefault="008B27BB" w:rsidP="004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6771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0B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0BC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0BC5" w:rsidRDefault="00CA0B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C5" w:rsidRDefault="00CA0BC5">
    <w:pPr>
      <w:pStyle w:val="Piedepgina"/>
      <w:ind w:right="360"/>
    </w:pPr>
  </w:p>
  <w:p w:rsidR="00CA0BC5" w:rsidRPr="000C66A5" w:rsidRDefault="006771BD" w:rsidP="00F25A1E">
    <w:pPr>
      <w:pStyle w:val="Piedepgina"/>
      <w:ind w:right="-58"/>
      <w:jc w:val="right"/>
      <w:rPr>
        <w:sz w:val="16"/>
        <w:szCs w:val="16"/>
      </w:rPr>
    </w:pPr>
    <w:r w:rsidRPr="000C66A5">
      <w:rPr>
        <w:rStyle w:val="Nmerodepgina"/>
        <w:sz w:val="16"/>
        <w:szCs w:val="16"/>
      </w:rPr>
      <w:fldChar w:fldCharType="begin"/>
    </w:r>
    <w:r w:rsidR="00CA0BC5" w:rsidRPr="000C66A5">
      <w:rPr>
        <w:rStyle w:val="Nmerodepgina"/>
        <w:sz w:val="16"/>
        <w:szCs w:val="16"/>
      </w:rPr>
      <w:instrText xml:space="preserve"> PAGE </w:instrText>
    </w:r>
    <w:r w:rsidRPr="000C66A5">
      <w:rPr>
        <w:rStyle w:val="Nmerodepgina"/>
        <w:sz w:val="16"/>
        <w:szCs w:val="16"/>
      </w:rPr>
      <w:fldChar w:fldCharType="separate"/>
    </w:r>
    <w:r w:rsidR="00522C13">
      <w:rPr>
        <w:rStyle w:val="Nmerodepgina"/>
        <w:noProof/>
        <w:sz w:val="16"/>
        <w:szCs w:val="16"/>
      </w:rPr>
      <w:t>3</w:t>
    </w:r>
    <w:r w:rsidRPr="000C66A5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BB" w:rsidRDefault="008B27BB" w:rsidP="00422DCD">
      <w:r>
        <w:separator/>
      </w:r>
    </w:p>
  </w:footnote>
  <w:footnote w:type="continuationSeparator" w:id="0">
    <w:p w:rsidR="008B27BB" w:rsidRDefault="008B27BB" w:rsidP="004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002"/>
    <w:multiLevelType w:val="hybridMultilevel"/>
    <w:tmpl w:val="58B8133E"/>
    <w:lvl w:ilvl="0" w:tplc="6F440A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680"/>
    <w:multiLevelType w:val="hybridMultilevel"/>
    <w:tmpl w:val="DB9EE5EE"/>
    <w:lvl w:ilvl="0" w:tplc="66506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1859"/>
    <w:multiLevelType w:val="hybridMultilevel"/>
    <w:tmpl w:val="D178A6DA"/>
    <w:lvl w:ilvl="0" w:tplc="67DAB1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37F1A"/>
    <w:multiLevelType w:val="hybridMultilevel"/>
    <w:tmpl w:val="811A6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67A"/>
    <w:multiLevelType w:val="hybridMultilevel"/>
    <w:tmpl w:val="64FCA7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EBE"/>
    <w:multiLevelType w:val="hybridMultilevel"/>
    <w:tmpl w:val="1E9C8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6267"/>
    <w:multiLevelType w:val="hybridMultilevel"/>
    <w:tmpl w:val="BA38A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B5C2A"/>
    <w:multiLevelType w:val="hybridMultilevel"/>
    <w:tmpl w:val="07E66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88"/>
    <w:rsid w:val="0000005B"/>
    <w:rsid w:val="00004D2D"/>
    <w:rsid w:val="00011188"/>
    <w:rsid w:val="00011E50"/>
    <w:rsid w:val="00012E76"/>
    <w:rsid w:val="00020062"/>
    <w:rsid w:val="00020A38"/>
    <w:rsid w:val="00026E66"/>
    <w:rsid w:val="00027048"/>
    <w:rsid w:val="00031E31"/>
    <w:rsid w:val="00036FAD"/>
    <w:rsid w:val="00043F28"/>
    <w:rsid w:val="00050240"/>
    <w:rsid w:val="00055628"/>
    <w:rsid w:val="0005695D"/>
    <w:rsid w:val="0006056D"/>
    <w:rsid w:val="0006106E"/>
    <w:rsid w:val="000631E2"/>
    <w:rsid w:val="00063835"/>
    <w:rsid w:val="0006544B"/>
    <w:rsid w:val="0006546B"/>
    <w:rsid w:val="0006658E"/>
    <w:rsid w:val="00071BF9"/>
    <w:rsid w:val="00071DA0"/>
    <w:rsid w:val="00076FF1"/>
    <w:rsid w:val="0009062F"/>
    <w:rsid w:val="00090BD4"/>
    <w:rsid w:val="00092B1A"/>
    <w:rsid w:val="00092BEF"/>
    <w:rsid w:val="00093E04"/>
    <w:rsid w:val="00094448"/>
    <w:rsid w:val="00096D09"/>
    <w:rsid w:val="000973F8"/>
    <w:rsid w:val="000A333B"/>
    <w:rsid w:val="000B79B4"/>
    <w:rsid w:val="000B79B8"/>
    <w:rsid w:val="000B7CBF"/>
    <w:rsid w:val="000C15C1"/>
    <w:rsid w:val="000C41A5"/>
    <w:rsid w:val="000C625B"/>
    <w:rsid w:val="000C66A5"/>
    <w:rsid w:val="000C714D"/>
    <w:rsid w:val="000D6117"/>
    <w:rsid w:val="000D68DF"/>
    <w:rsid w:val="000E0314"/>
    <w:rsid w:val="000E0ED5"/>
    <w:rsid w:val="000E4380"/>
    <w:rsid w:val="000E48DC"/>
    <w:rsid w:val="000E6290"/>
    <w:rsid w:val="000F0DB6"/>
    <w:rsid w:val="000F13D7"/>
    <w:rsid w:val="00102BF2"/>
    <w:rsid w:val="0010399E"/>
    <w:rsid w:val="0010588A"/>
    <w:rsid w:val="00116133"/>
    <w:rsid w:val="0012122E"/>
    <w:rsid w:val="00130A3B"/>
    <w:rsid w:val="00134641"/>
    <w:rsid w:val="00140F16"/>
    <w:rsid w:val="001414BB"/>
    <w:rsid w:val="00145D96"/>
    <w:rsid w:val="00146860"/>
    <w:rsid w:val="00154149"/>
    <w:rsid w:val="00155B5C"/>
    <w:rsid w:val="00155D53"/>
    <w:rsid w:val="00156A21"/>
    <w:rsid w:val="001574D6"/>
    <w:rsid w:val="00163616"/>
    <w:rsid w:val="001705B4"/>
    <w:rsid w:val="00174100"/>
    <w:rsid w:val="0017737E"/>
    <w:rsid w:val="001803A7"/>
    <w:rsid w:val="001830D5"/>
    <w:rsid w:val="0019043D"/>
    <w:rsid w:val="0019121F"/>
    <w:rsid w:val="001945B5"/>
    <w:rsid w:val="00197217"/>
    <w:rsid w:val="001A2D4F"/>
    <w:rsid w:val="001B0B7E"/>
    <w:rsid w:val="001B267A"/>
    <w:rsid w:val="001B44EB"/>
    <w:rsid w:val="001B694B"/>
    <w:rsid w:val="001B7BB3"/>
    <w:rsid w:val="001C141B"/>
    <w:rsid w:val="001C24DA"/>
    <w:rsid w:val="001C43E6"/>
    <w:rsid w:val="001C52CD"/>
    <w:rsid w:val="001C5A1D"/>
    <w:rsid w:val="001C6D37"/>
    <w:rsid w:val="001D0D59"/>
    <w:rsid w:val="001D6694"/>
    <w:rsid w:val="001D6CFE"/>
    <w:rsid w:val="001E46E8"/>
    <w:rsid w:val="001F366F"/>
    <w:rsid w:val="002007D3"/>
    <w:rsid w:val="0020149D"/>
    <w:rsid w:val="00210704"/>
    <w:rsid w:val="002133F0"/>
    <w:rsid w:val="00215114"/>
    <w:rsid w:val="00215183"/>
    <w:rsid w:val="002161E2"/>
    <w:rsid w:val="00220100"/>
    <w:rsid w:val="002228E6"/>
    <w:rsid w:val="002249FE"/>
    <w:rsid w:val="00224BE2"/>
    <w:rsid w:val="00225396"/>
    <w:rsid w:val="0022732A"/>
    <w:rsid w:val="002311FD"/>
    <w:rsid w:val="0023477C"/>
    <w:rsid w:val="00243116"/>
    <w:rsid w:val="002465BE"/>
    <w:rsid w:val="0025208D"/>
    <w:rsid w:val="00253C09"/>
    <w:rsid w:val="0025449B"/>
    <w:rsid w:val="00261082"/>
    <w:rsid w:val="00272574"/>
    <w:rsid w:val="00274BC7"/>
    <w:rsid w:val="002767C8"/>
    <w:rsid w:val="00277A5C"/>
    <w:rsid w:val="00284E4A"/>
    <w:rsid w:val="002912C3"/>
    <w:rsid w:val="002944E7"/>
    <w:rsid w:val="00296FC9"/>
    <w:rsid w:val="002A083D"/>
    <w:rsid w:val="002A1639"/>
    <w:rsid w:val="002A383D"/>
    <w:rsid w:val="002A4B34"/>
    <w:rsid w:val="002A5AFA"/>
    <w:rsid w:val="002B3FDA"/>
    <w:rsid w:val="002B4203"/>
    <w:rsid w:val="002B699D"/>
    <w:rsid w:val="002C005F"/>
    <w:rsid w:val="002C0CF7"/>
    <w:rsid w:val="002C12EF"/>
    <w:rsid w:val="002C37C1"/>
    <w:rsid w:val="002C7C5A"/>
    <w:rsid w:val="002D0485"/>
    <w:rsid w:val="002D14B1"/>
    <w:rsid w:val="002D6204"/>
    <w:rsid w:val="002E2110"/>
    <w:rsid w:val="002E4B34"/>
    <w:rsid w:val="002E5C07"/>
    <w:rsid w:val="002F3093"/>
    <w:rsid w:val="002F69B2"/>
    <w:rsid w:val="002F720C"/>
    <w:rsid w:val="0030087D"/>
    <w:rsid w:val="00300A9A"/>
    <w:rsid w:val="00302788"/>
    <w:rsid w:val="00304E73"/>
    <w:rsid w:val="00305AD7"/>
    <w:rsid w:val="00310B5C"/>
    <w:rsid w:val="00310F0C"/>
    <w:rsid w:val="00311153"/>
    <w:rsid w:val="00315CCB"/>
    <w:rsid w:val="00317547"/>
    <w:rsid w:val="00323C18"/>
    <w:rsid w:val="00326F01"/>
    <w:rsid w:val="00327CD3"/>
    <w:rsid w:val="0033041A"/>
    <w:rsid w:val="00332D4B"/>
    <w:rsid w:val="00336C7E"/>
    <w:rsid w:val="003401D9"/>
    <w:rsid w:val="003463BF"/>
    <w:rsid w:val="003507BB"/>
    <w:rsid w:val="00354BC4"/>
    <w:rsid w:val="00363C8F"/>
    <w:rsid w:val="00364D26"/>
    <w:rsid w:val="003719C0"/>
    <w:rsid w:val="00371C44"/>
    <w:rsid w:val="0037250E"/>
    <w:rsid w:val="0037715B"/>
    <w:rsid w:val="00380786"/>
    <w:rsid w:val="00387013"/>
    <w:rsid w:val="00390749"/>
    <w:rsid w:val="00394C4E"/>
    <w:rsid w:val="003963D0"/>
    <w:rsid w:val="00396D62"/>
    <w:rsid w:val="003A155B"/>
    <w:rsid w:val="003B15A9"/>
    <w:rsid w:val="003B29BF"/>
    <w:rsid w:val="003B395C"/>
    <w:rsid w:val="003B47CE"/>
    <w:rsid w:val="003B7AAE"/>
    <w:rsid w:val="003C20A2"/>
    <w:rsid w:val="003C4484"/>
    <w:rsid w:val="003D58BC"/>
    <w:rsid w:val="003D736A"/>
    <w:rsid w:val="003E0969"/>
    <w:rsid w:val="003E53AB"/>
    <w:rsid w:val="003F0775"/>
    <w:rsid w:val="003F40AC"/>
    <w:rsid w:val="003F47C5"/>
    <w:rsid w:val="003F6217"/>
    <w:rsid w:val="00401BE1"/>
    <w:rsid w:val="00403A3A"/>
    <w:rsid w:val="0040473E"/>
    <w:rsid w:val="00404887"/>
    <w:rsid w:val="004055EE"/>
    <w:rsid w:val="00407614"/>
    <w:rsid w:val="004106F1"/>
    <w:rsid w:val="004163FB"/>
    <w:rsid w:val="00421112"/>
    <w:rsid w:val="00424795"/>
    <w:rsid w:val="004261E8"/>
    <w:rsid w:val="00431842"/>
    <w:rsid w:val="0043339C"/>
    <w:rsid w:val="004358ED"/>
    <w:rsid w:val="004364DD"/>
    <w:rsid w:val="004408E9"/>
    <w:rsid w:val="00440A3E"/>
    <w:rsid w:val="00442BB4"/>
    <w:rsid w:val="00444917"/>
    <w:rsid w:val="0044644E"/>
    <w:rsid w:val="00446809"/>
    <w:rsid w:val="0044711B"/>
    <w:rsid w:val="00447F3D"/>
    <w:rsid w:val="004520D3"/>
    <w:rsid w:val="00452493"/>
    <w:rsid w:val="004551C3"/>
    <w:rsid w:val="00460666"/>
    <w:rsid w:val="00460DCB"/>
    <w:rsid w:val="004615EB"/>
    <w:rsid w:val="00464388"/>
    <w:rsid w:val="00467ECB"/>
    <w:rsid w:val="00470290"/>
    <w:rsid w:val="00470850"/>
    <w:rsid w:val="00472F8D"/>
    <w:rsid w:val="00477663"/>
    <w:rsid w:val="00480EB5"/>
    <w:rsid w:val="00481556"/>
    <w:rsid w:val="004824F9"/>
    <w:rsid w:val="00483B1F"/>
    <w:rsid w:val="004869D3"/>
    <w:rsid w:val="004869DB"/>
    <w:rsid w:val="004912AF"/>
    <w:rsid w:val="004972C3"/>
    <w:rsid w:val="004A0D7C"/>
    <w:rsid w:val="004A2DE0"/>
    <w:rsid w:val="004A49E4"/>
    <w:rsid w:val="004A7A7F"/>
    <w:rsid w:val="004B335F"/>
    <w:rsid w:val="004B5B9D"/>
    <w:rsid w:val="004B68A5"/>
    <w:rsid w:val="004B70CE"/>
    <w:rsid w:val="004D6E56"/>
    <w:rsid w:val="004D78A0"/>
    <w:rsid w:val="004D7956"/>
    <w:rsid w:val="004E3E11"/>
    <w:rsid w:val="004E48B7"/>
    <w:rsid w:val="004E5732"/>
    <w:rsid w:val="004E7669"/>
    <w:rsid w:val="004F1FFB"/>
    <w:rsid w:val="004F25A3"/>
    <w:rsid w:val="004F4BEB"/>
    <w:rsid w:val="004F7CED"/>
    <w:rsid w:val="00500E9B"/>
    <w:rsid w:val="00502475"/>
    <w:rsid w:val="005043D3"/>
    <w:rsid w:val="00505198"/>
    <w:rsid w:val="00505EFA"/>
    <w:rsid w:val="00514149"/>
    <w:rsid w:val="00516738"/>
    <w:rsid w:val="00520668"/>
    <w:rsid w:val="005207C7"/>
    <w:rsid w:val="005229A7"/>
    <w:rsid w:val="00522C13"/>
    <w:rsid w:val="005301E5"/>
    <w:rsid w:val="00531735"/>
    <w:rsid w:val="0053198C"/>
    <w:rsid w:val="00531D3C"/>
    <w:rsid w:val="00537CF8"/>
    <w:rsid w:val="005406E2"/>
    <w:rsid w:val="00540FD8"/>
    <w:rsid w:val="00544702"/>
    <w:rsid w:val="005507FD"/>
    <w:rsid w:val="00553741"/>
    <w:rsid w:val="00553A66"/>
    <w:rsid w:val="00555607"/>
    <w:rsid w:val="005558E3"/>
    <w:rsid w:val="0055732A"/>
    <w:rsid w:val="005577D5"/>
    <w:rsid w:val="00557814"/>
    <w:rsid w:val="00561C21"/>
    <w:rsid w:val="00563CA3"/>
    <w:rsid w:val="00565BFE"/>
    <w:rsid w:val="00577D26"/>
    <w:rsid w:val="00582A6E"/>
    <w:rsid w:val="00583F89"/>
    <w:rsid w:val="00590D8C"/>
    <w:rsid w:val="00594D78"/>
    <w:rsid w:val="0059718D"/>
    <w:rsid w:val="005A04A3"/>
    <w:rsid w:val="005A306E"/>
    <w:rsid w:val="005A3C0E"/>
    <w:rsid w:val="005A4A6A"/>
    <w:rsid w:val="005A643D"/>
    <w:rsid w:val="005A7911"/>
    <w:rsid w:val="005B232E"/>
    <w:rsid w:val="005B7A1F"/>
    <w:rsid w:val="005C11C1"/>
    <w:rsid w:val="005C16CD"/>
    <w:rsid w:val="005C1D8E"/>
    <w:rsid w:val="005D4F8E"/>
    <w:rsid w:val="005D77DD"/>
    <w:rsid w:val="005E5352"/>
    <w:rsid w:val="005F04DD"/>
    <w:rsid w:val="005F14E0"/>
    <w:rsid w:val="00602D10"/>
    <w:rsid w:val="00603C86"/>
    <w:rsid w:val="00605740"/>
    <w:rsid w:val="00616413"/>
    <w:rsid w:val="006230E2"/>
    <w:rsid w:val="00623992"/>
    <w:rsid w:val="00627B7D"/>
    <w:rsid w:val="006333F2"/>
    <w:rsid w:val="0063345E"/>
    <w:rsid w:val="0064754A"/>
    <w:rsid w:val="00647A4A"/>
    <w:rsid w:val="00651BDB"/>
    <w:rsid w:val="00654619"/>
    <w:rsid w:val="006549D2"/>
    <w:rsid w:val="006566E9"/>
    <w:rsid w:val="00660948"/>
    <w:rsid w:val="00661079"/>
    <w:rsid w:val="0066145A"/>
    <w:rsid w:val="00671085"/>
    <w:rsid w:val="00672B50"/>
    <w:rsid w:val="00675DEF"/>
    <w:rsid w:val="00676AB6"/>
    <w:rsid w:val="0067708A"/>
    <w:rsid w:val="006771BD"/>
    <w:rsid w:val="00677D0F"/>
    <w:rsid w:val="00677E2F"/>
    <w:rsid w:val="006845D2"/>
    <w:rsid w:val="00685D14"/>
    <w:rsid w:val="00691ED7"/>
    <w:rsid w:val="00693B67"/>
    <w:rsid w:val="00694F63"/>
    <w:rsid w:val="00697D32"/>
    <w:rsid w:val="006A2D35"/>
    <w:rsid w:val="006A4432"/>
    <w:rsid w:val="006A69F8"/>
    <w:rsid w:val="006B00F3"/>
    <w:rsid w:val="006B01FF"/>
    <w:rsid w:val="006B0971"/>
    <w:rsid w:val="006B2A33"/>
    <w:rsid w:val="006B5C12"/>
    <w:rsid w:val="006C09F7"/>
    <w:rsid w:val="006C2D1C"/>
    <w:rsid w:val="006C5FAD"/>
    <w:rsid w:val="006D35E8"/>
    <w:rsid w:val="006D45C8"/>
    <w:rsid w:val="006D6BEE"/>
    <w:rsid w:val="006E1EA3"/>
    <w:rsid w:val="006E225C"/>
    <w:rsid w:val="006E4045"/>
    <w:rsid w:val="006F33FB"/>
    <w:rsid w:val="006F6739"/>
    <w:rsid w:val="00701302"/>
    <w:rsid w:val="00704DA1"/>
    <w:rsid w:val="007069A4"/>
    <w:rsid w:val="00711613"/>
    <w:rsid w:val="00714BA8"/>
    <w:rsid w:val="00725FBD"/>
    <w:rsid w:val="00726611"/>
    <w:rsid w:val="007276B0"/>
    <w:rsid w:val="00732D57"/>
    <w:rsid w:val="00733C9E"/>
    <w:rsid w:val="0074247B"/>
    <w:rsid w:val="00747C0A"/>
    <w:rsid w:val="007509C7"/>
    <w:rsid w:val="0075182C"/>
    <w:rsid w:val="00753ADE"/>
    <w:rsid w:val="00760187"/>
    <w:rsid w:val="00762721"/>
    <w:rsid w:val="00764E67"/>
    <w:rsid w:val="007760F5"/>
    <w:rsid w:val="007820C1"/>
    <w:rsid w:val="00783839"/>
    <w:rsid w:val="00785433"/>
    <w:rsid w:val="007855BC"/>
    <w:rsid w:val="00786A80"/>
    <w:rsid w:val="00787112"/>
    <w:rsid w:val="00790529"/>
    <w:rsid w:val="00797E51"/>
    <w:rsid w:val="007A142B"/>
    <w:rsid w:val="007A2D0A"/>
    <w:rsid w:val="007A4BDD"/>
    <w:rsid w:val="007A5641"/>
    <w:rsid w:val="007A7706"/>
    <w:rsid w:val="007B21EC"/>
    <w:rsid w:val="007B6438"/>
    <w:rsid w:val="007C242A"/>
    <w:rsid w:val="007C3F75"/>
    <w:rsid w:val="007C5AD4"/>
    <w:rsid w:val="007D06A8"/>
    <w:rsid w:val="007E48B8"/>
    <w:rsid w:val="007E546A"/>
    <w:rsid w:val="007E56F1"/>
    <w:rsid w:val="007E5E8F"/>
    <w:rsid w:val="007E6297"/>
    <w:rsid w:val="007E7ED5"/>
    <w:rsid w:val="007F4D0E"/>
    <w:rsid w:val="0080020B"/>
    <w:rsid w:val="00800A5D"/>
    <w:rsid w:val="00802367"/>
    <w:rsid w:val="0080291E"/>
    <w:rsid w:val="0080797D"/>
    <w:rsid w:val="0081002F"/>
    <w:rsid w:val="00810B2F"/>
    <w:rsid w:val="00814C0A"/>
    <w:rsid w:val="00817626"/>
    <w:rsid w:val="008217D6"/>
    <w:rsid w:val="00827980"/>
    <w:rsid w:val="008334B7"/>
    <w:rsid w:val="00835486"/>
    <w:rsid w:val="008401F3"/>
    <w:rsid w:val="0084306B"/>
    <w:rsid w:val="008451C2"/>
    <w:rsid w:val="00845DE7"/>
    <w:rsid w:val="00847FD0"/>
    <w:rsid w:val="00851F68"/>
    <w:rsid w:val="008537D5"/>
    <w:rsid w:val="00854EBF"/>
    <w:rsid w:val="008555EE"/>
    <w:rsid w:val="008569A0"/>
    <w:rsid w:val="00861BCB"/>
    <w:rsid w:val="0086508D"/>
    <w:rsid w:val="008701DF"/>
    <w:rsid w:val="0087386B"/>
    <w:rsid w:val="008747B3"/>
    <w:rsid w:val="00880334"/>
    <w:rsid w:val="008809CD"/>
    <w:rsid w:val="00880C14"/>
    <w:rsid w:val="008847F4"/>
    <w:rsid w:val="008906E4"/>
    <w:rsid w:val="008950D1"/>
    <w:rsid w:val="0089638C"/>
    <w:rsid w:val="00897903"/>
    <w:rsid w:val="008A221E"/>
    <w:rsid w:val="008B27BB"/>
    <w:rsid w:val="008B3BAC"/>
    <w:rsid w:val="008B5B81"/>
    <w:rsid w:val="008C0AFF"/>
    <w:rsid w:val="008C4890"/>
    <w:rsid w:val="008D37E8"/>
    <w:rsid w:val="008D4A4C"/>
    <w:rsid w:val="008D5413"/>
    <w:rsid w:val="008E2372"/>
    <w:rsid w:val="008E2D33"/>
    <w:rsid w:val="008F14C6"/>
    <w:rsid w:val="008F21FB"/>
    <w:rsid w:val="008F22CA"/>
    <w:rsid w:val="00913FB0"/>
    <w:rsid w:val="00920478"/>
    <w:rsid w:val="0092219A"/>
    <w:rsid w:val="00930674"/>
    <w:rsid w:val="00931514"/>
    <w:rsid w:val="009329C3"/>
    <w:rsid w:val="00932C9F"/>
    <w:rsid w:val="00933EF9"/>
    <w:rsid w:val="00933FEC"/>
    <w:rsid w:val="00935EA9"/>
    <w:rsid w:val="00937C7D"/>
    <w:rsid w:val="009442E0"/>
    <w:rsid w:val="009447D7"/>
    <w:rsid w:val="00945CC5"/>
    <w:rsid w:val="00951206"/>
    <w:rsid w:val="009559E6"/>
    <w:rsid w:val="00957A86"/>
    <w:rsid w:val="00973395"/>
    <w:rsid w:val="00977303"/>
    <w:rsid w:val="009812D0"/>
    <w:rsid w:val="00985B9B"/>
    <w:rsid w:val="0099694E"/>
    <w:rsid w:val="00996CD6"/>
    <w:rsid w:val="009A0205"/>
    <w:rsid w:val="009A5F36"/>
    <w:rsid w:val="009B3F4D"/>
    <w:rsid w:val="009C3DEF"/>
    <w:rsid w:val="009C56ED"/>
    <w:rsid w:val="009C56FF"/>
    <w:rsid w:val="009C69ED"/>
    <w:rsid w:val="009C6E0B"/>
    <w:rsid w:val="009C78CF"/>
    <w:rsid w:val="009D0469"/>
    <w:rsid w:val="009D298B"/>
    <w:rsid w:val="009D308E"/>
    <w:rsid w:val="009D75ED"/>
    <w:rsid w:val="009E5186"/>
    <w:rsid w:val="009E60AD"/>
    <w:rsid w:val="009F5A48"/>
    <w:rsid w:val="009F7055"/>
    <w:rsid w:val="00A002B6"/>
    <w:rsid w:val="00A03682"/>
    <w:rsid w:val="00A038E7"/>
    <w:rsid w:val="00A04CA5"/>
    <w:rsid w:val="00A04F36"/>
    <w:rsid w:val="00A064D2"/>
    <w:rsid w:val="00A11F62"/>
    <w:rsid w:val="00A1514C"/>
    <w:rsid w:val="00A173D4"/>
    <w:rsid w:val="00A202A3"/>
    <w:rsid w:val="00A20F3C"/>
    <w:rsid w:val="00A26E1D"/>
    <w:rsid w:val="00A3109C"/>
    <w:rsid w:val="00A34E2E"/>
    <w:rsid w:val="00A360F8"/>
    <w:rsid w:val="00A36E88"/>
    <w:rsid w:val="00A41A7E"/>
    <w:rsid w:val="00A4339C"/>
    <w:rsid w:val="00A44670"/>
    <w:rsid w:val="00A44FBC"/>
    <w:rsid w:val="00A469F5"/>
    <w:rsid w:val="00A5245F"/>
    <w:rsid w:val="00A54EE0"/>
    <w:rsid w:val="00A56B6C"/>
    <w:rsid w:val="00A56BCE"/>
    <w:rsid w:val="00A610BB"/>
    <w:rsid w:val="00A630B5"/>
    <w:rsid w:val="00A63E85"/>
    <w:rsid w:val="00A73B72"/>
    <w:rsid w:val="00A73C30"/>
    <w:rsid w:val="00A742EC"/>
    <w:rsid w:val="00A76425"/>
    <w:rsid w:val="00A869BB"/>
    <w:rsid w:val="00A86A7B"/>
    <w:rsid w:val="00A876E2"/>
    <w:rsid w:val="00A87DE0"/>
    <w:rsid w:val="00A95DDB"/>
    <w:rsid w:val="00AA106E"/>
    <w:rsid w:val="00AA3215"/>
    <w:rsid w:val="00AA5B1A"/>
    <w:rsid w:val="00AA678B"/>
    <w:rsid w:val="00AA714E"/>
    <w:rsid w:val="00AC087F"/>
    <w:rsid w:val="00AC40CC"/>
    <w:rsid w:val="00AC6BD7"/>
    <w:rsid w:val="00AC6C46"/>
    <w:rsid w:val="00AD4B8F"/>
    <w:rsid w:val="00AD55E2"/>
    <w:rsid w:val="00AE1233"/>
    <w:rsid w:val="00AE1AC7"/>
    <w:rsid w:val="00B05E2C"/>
    <w:rsid w:val="00B07E7D"/>
    <w:rsid w:val="00B12BEB"/>
    <w:rsid w:val="00B13FD9"/>
    <w:rsid w:val="00B1468F"/>
    <w:rsid w:val="00B15EFE"/>
    <w:rsid w:val="00B20E9E"/>
    <w:rsid w:val="00B216E6"/>
    <w:rsid w:val="00B21CD1"/>
    <w:rsid w:val="00B22042"/>
    <w:rsid w:val="00B221A7"/>
    <w:rsid w:val="00B23EC2"/>
    <w:rsid w:val="00B27AFD"/>
    <w:rsid w:val="00B31AAF"/>
    <w:rsid w:val="00B31FE3"/>
    <w:rsid w:val="00B37E6C"/>
    <w:rsid w:val="00B401F5"/>
    <w:rsid w:val="00B4208F"/>
    <w:rsid w:val="00B4414C"/>
    <w:rsid w:val="00B465C2"/>
    <w:rsid w:val="00B504D9"/>
    <w:rsid w:val="00B50901"/>
    <w:rsid w:val="00B50DF8"/>
    <w:rsid w:val="00B51F79"/>
    <w:rsid w:val="00B5608D"/>
    <w:rsid w:val="00B57086"/>
    <w:rsid w:val="00B64766"/>
    <w:rsid w:val="00B6560F"/>
    <w:rsid w:val="00B65B27"/>
    <w:rsid w:val="00B73AA3"/>
    <w:rsid w:val="00B74320"/>
    <w:rsid w:val="00B82E86"/>
    <w:rsid w:val="00B91777"/>
    <w:rsid w:val="00B92C4E"/>
    <w:rsid w:val="00B9333C"/>
    <w:rsid w:val="00B93913"/>
    <w:rsid w:val="00B97BC5"/>
    <w:rsid w:val="00BA19A2"/>
    <w:rsid w:val="00BB12E6"/>
    <w:rsid w:val="00BB28B8"/>
    <w:rsid w:val="00BD064E"/>
    <w:rsid w:val="00BD5AC2"/>
    <w:rsid w:val="00BE1547"/>
    <w:rsid w:val="00BE26F8"/>
    <w:rsid w:val="00BE2E44"/>
    <w:rsid w:val="00BE3964"/>
    <w:rsid w:val="00BE5A81"/>
    <w:rsid w:val="00BE6066"/>
    <w:rsid w:val="00BE7560"/>
    <w:rsid w:val="00BF2DD9"/>
    <w:rsid w:val="00BF3359"/>
    <w:rsid w:val="00BF3943"/>
    <w:rsid w:val="00BF3FD2"/>
    <w:rsid w:val="00BF78B6"/>
    <w:rsid w:val="00C01F71"/>
    <w:rsid w:val="00C023C9"/>
    <w:rsid w:val="00C031E9"/>
    <w:rsid w:val="00C04497"/>
    <w:rsid w:val="00C04AE5"/>
    <w:rsid w:val="00C11AB9"/>
    <w:rsid w:val="00C27DD8"/>
    <w:rsid w:val="00C32082"/>
    <w:rsid w:val="00C320C6"/>
    <w:rsid w:val="00C323A0"/>
    <w:rsid w:val="00C32B44"/>
    <w:rsid w:val="00C41182"/>
    <w:rsid w:val="00C414EA"/>
    <w:rsid w:val="00C41959"/>
    <w:rsid w:val="00C42282"/>
    <w:rsid w:val="00C42525"/>
    <w:rsid w:val="00C57BF1"/>
    <w:rsid w:val="00C717A8"/>
    <w:rsid w:val="00C76C5C"/>
    <w:rsid w:val="00C80BEA"/>
    <w:rsid w:val="00C845A8"/>
    <w:rsid w:val="00C85342"/>
    <w:rsid w:val="00C8660B"/>
    <w:rsid w:val="00C86B1E"/>
    <w:rsid w:val="00C873FE"/>
    <w:rsid w:val="00C92DCB"/>
    <w:rsid w:val="00C93B52"/>
    <w:rsid w:val="00C93CFD"/>
    <w:rsid w:val="00C9450D"/>
    <w:rsid w:val="00C953D3"/>
    <w:rsid w:val="00C95865"/>
    <w:rsid w:val="00CA0463"/>
    <w:rsid w:val="00CA0BC5"/>
    <w:rsid w:val="00CA5691"/>
    <w:rsid w:val="00CB4A4B"/>
    <w:rsid w:val="00CC05BB"/>
    <w:rsid w:val="00CC1A24"/>
    <w:rsid w:val="00CC6A93"/>
    <w:rsid w:val="00CC6ED7"/>
    <w:rsid w:val="00CD38B1"/>
    <w:rsid w:val="00CD42E6"/>
    <w:rsid w:val="00CD7066"/>
    <w:rsid w:val="00CE327E"/>
    <w:rsid w:val="00CE59B5"/>
    <w:rsid w:val="00CE5E9C"/>
    <w:rsid w:val="00CE6460"/>
    <w:rsid w:val="00CF2900"/>
    <w:rsid w:val="00CF2C38"/>
    <w:rsid w:val="00CF403C"/>
    <w:rsid w:val="00CF55FF"/>
    <w:rsid w:val="00CF7D22"/>
    <w:rsid w:val="00D0334E"/>
    <w:rsid w:val="00D0362A"/>
    <w:rsid w:val="00D036B9"/>
    <w:rsid w:val="00D152E1"/>
    <w:rsid w:val="00D1728F"/>
    <w:rsid w:val="00D17C5D"/>
    <w:rsid w:val="00D17D11"/>
    <w:rsid w:val="00D2007C"/>
    <w:rsid w:val="00D20727"/>
    <w:rsid w:val="00D26CEF"/>
    <w:rsid w:val="00D279B6"/>
    <w:rsid w:val="00D37CC5"/>
    <w:rsid w:val="00D555B6"/>
    <w:rsid w:val="00D55FC6"/>
    <w:rsid w:val="00D57114"/>
    <w:rsid w:val="00D60477"/>
    <w:rsid w:val="00D61BC8"/>
    <w:rsid w:val="00D661B4"/>
    <w:rsid w:val="00D71CCC"/>
    <w:rsid w:val="00D74421"/>
    <w:rsid w:val="00D754D7"/>
    <w:rsid w:val="00D75BD4"/>
    <w:rsid w:val="00D7744C"/>
    <w:rsid w:val="00D81D62"/>
    <w:rsid w:val="00D81F41"/>
    <w:rsid w:val="00D82946"/>
    <w:rsid w:val="00D82B77"/>
    <w:rsid w:val="00D84B98"/>
    <w:rsid w:val="00D85D19"/>
    <w:rsid w:val="00D920EA"/>
    <w:rsid w:val="00D92D63"/>
    <w:rsid w:val="00D96140"/>
    <w:rsid w:val="00DA6F12"/>
    <w:rsid w:val="00DB48D2"/>
    <w:rsid w:val="00DB546A"/>
    <w:rsid w:val="00DB5B2F"/>
    <w:rsid w:val="00DB5E52"/>
    <w:rsid w:val="00DB7A9F"/>
    <w:rsid w:val="00DC04B4"/>
    <w:rsid w:val="00DC5372"/>
    <w:rsid w:val="00DD1330"/>
    <w:rsid w:val="00DD37AF"/>
    <w:rsid w:val="00DD4B2A"/>
    <w:rsid w:val="00DD52C8"/>
    <w:rsid w:val="00DE4785"/>
    <w:rsid w:val="00DE53A5"/>
    <w:rsid w:val="00E037D6"/>
    <w:rsid w:val="00E05824"/>
    <w:rsid w:val="00E06A76"/>
    <w:rsid w:val="00E14751"/>
    <w:rsid w:val="00E1584C"/>
    <w:rsid w:val="00E16A1A"/>
    <w:rsid w:val="00E2173F"/>
    <w:rsid w:val="00E26F5F"/>
    <w:rsid w:val="00E309DC"/>
    <w:rsid w:val="00E3543A"/>
    <w:rsid w:val="00E4312B"/>
    <w:rsid w:val="00E43921"/>
    <w:rsid w:val="00E44D92"/>
    <w:rsid w:val="00E44DB6"/>
    <w:rsid w:val="00E51796"/>
    <w:rsid w:val="00E51CA7"/>
    <w:rsid w:val="00E529E8"/>
    <w:rsid w:val="00E570C7"/>
    <w:rsid w:val="00E57E56"/>
    <w:rsid w:val="00E613D8"/>
    <w:rsid w:val="00E62013"/>
    <w:rsid w:val="00E65BFB"/>
    <w:rsid w:val="00E6616F"/>
    <w:rsid w:val="00E755D5"/>
    <w:rsid w:val="00E76E4A"/>
    <w:rsid w:val="00E905AE"/>
    <w:rsid w:val="00E90CCB"/>
    <w:rsid w:val="00E95AE5"/>
    <w:rsid w:val="00E97AAA"/>
    <w:rsid w:val="00EA03A0"/>
    <w:rsid w:val="00EA1F33"/>
    <w:rsid w:val="00EA3113"/>
    <w:rsid w:val="00EA3944"/>
    <w:rsid w:val="00EA7534"/>
    <w:rsid w:val="00EB0256"/>
    <w:rsid w:val="00EB239C"/>
    <w:rsid w:val="00EB483D"/>
    <w:rsid w:val="00EB7B04"/>
    <w:rsid w:val="00EC1C72"/>
    <w:rsid w:val="00ED110E"/>
    <w:rsid w:val="00ED4899"/>
    <w:rsid w:val="00ED79B4"/>
    <w:rsid w:val="00EE273D"/>
    <w:rsid w:val="00EE4CCF"/>
    <w:rsid w:val="00EE5921"/>
    <w:rsid w:val="00EE6115"/>
    <w:rsid w:val="00EE7B8A"/>
    <w:rsid w:val="00F0187E"/>
    <w:rsid w:val="00F047A8"/>
    <w:rsid w:val="00F05CA0"/>
    <w:rsid w:val="00F121D1"/>
    <w:rsid w:val="00F12AD9"/>
    <w:rsid w:val="00F14B63"/>
    <w:rsid w:val="00F1530A"/>
    <w:rsid w:val="00F2135B"/>
    <w:rsid w:val="00F21F33"/>
    <w:rsid w:val="00F23118"/>
    <w:rsid w:val="00F25A1E"/>
    <w:rsid w:val="00F25C99"/>
    <w:rsid w:val="00F25D7E"/>
    <w:rsid w:val="00F27734"/>
    <w:rsid w:val="00F32454"/>
    <w:rsid w:val="00F33459"/>
    <w:rsid w:val="00F33607"/>
    <w:rsid w:val="00F357F1"/>
    <w:rsid w:val="00F424C3"/>
    <w:rsid w:val="00F44331"/>
    <w:rsid w:val="00F46FF8"/>
    <w:rsid w:val="00F47F4B"/>
    <w:rsid w:val="00F52F02"/>
    <w:rsid w:val="00F56902"/>
    <w:rsid w:val="00F63115"/>
    <w:rsid w:val="00F64B4B"/>
    <w:rsid w:val="00F6671A"/>
    <w:rsid w:val="00F66AE6"/>
    <w:rsid w:val="00F71C63"/>
    <w:rsid w:val="00F75042"/>
    <w:rsid w:val="00F75986"/>
    <w:rsid w:val="00F824BB"/>
    <w:rsid w:val="00F84AA2"/>
    <w:rsid w:val="00F878FE"/>
    <w:rsid w:val="00F906E4"/>
    <w:rsid w:val="00F932FE"/>
    <w:rsid w:val="00F9562A"/>
    <w:rsid w:val="00FA50BE"/>
    <w:rsid w:val="00FA7D2F"/>
    <w:rsid w:val="00FB3102"/>
    <w:rsid w:val="00FB51D8"/>
    <w:rsid w:val="00FC0AAC"/>
    <w:rsid w:val="00FC3101"/>
    <w:rsid w:val="00FD32A5"/>
    <w:rsid w:val="00FD440B"/>
    <w:rsid w:val="00FD6C74"/>
    <w:rsid w:val="00FE0876"/>
    <w:rsid w:val="00FE12C3"/>
    <w:rsid w:val="00FE4072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B609E"/>
  <w15:docId w15:val="{19EAE832-7043-4002-A6C4-9BBD50F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88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1188"/>
    <w:pPr>
      <w:keepNext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11188"/>
    <w:pPr>
      <w:ind w:left="360"/>
      <w:jc w:val="both"/>
    </w:pPr>
    <w:rPr>
      <w:lang w:val="es-ES_tradnl"/>
    </w:rPr>
  </w:style>
  <w:style w:type="paragraph" w:styleId="Piedepgina">
    <w:name w:val="footer"/>
    <w:basedOn w:val="Normal"/>
    <w:rsid w:val="0001118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1188"/>
  </w:style>
  <w:style w:type="paragraph" w:styleId="Encabezado">
    <w:name w:val="header"/>
    <w:basedOn w:val="Normal"/>
    <w:rsid w:val="0001118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011188"/>
    <w:pPr>
      <w:tabs>
        <w:tab w:val="left" w:pos="1276"/>
      </w:tabs>
      <w:ind w:left="360"/>
      <w:jc w:val="both"/>
    </w:pPr>
    <w:rPr>
      <w:sz w:val="20"/>
      <w:lang w:val="es-ES_tradnl"/>
    </w:rPr>
  </w:style>
  <w:style w:type="paragraph" w:styleId="Textonotapie">
    <w:name w:val="footnote text"/>
    <w:basedOn w:val="Normal"/>
    <w:semiHidden/>
    <w:rsid w:val="00011188"/>
    <w:rPr>
      <w:sz w:val="20"/>
    </w:rPr>
  </w:style>
  <w:style w:type="paragraph" w:styleId="NormalWeb">
    <w:name w:val="Normal (Web)"/>
    <w:basedOn w:val="Normal"/>
    <w:rsid w:val="0001118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conformatoprevio">
    <w:name w:val="HTML Preformatted"/>
    <w:basedOn w:val="Normal"/>
    <w:rsid w:val="00092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Textodeglobo">
    <w:name w:val="Balloon Text"/>
    <w:basedOn w:val="Normal"/>
    <w:semiHidden/>
    <w:rsid w:val="00A03682"/>
    <w:rPr>
      <w:rFonts w:ascii="Tahoma" w:hAnsi="Tahoma" w:cs="Tahoma"/>
      <w:sz w:val="16"/>
      <w:szCs w:val="16"/>
    </w:rPr>
  </w:style>
  <w:style w:type="paragraph" w:styleId="Prrafodelista">
    <w:name w:val="List Paragraph"/>
    <w:aliases w:val="BOE"/>
    <w:basedOn w:val="Normal"/>
    <w:link w:val="PrrafodelistaCar"/>
    <w:uiPriority w:val="34"/>
    <w:qFormat/>
    <w:rsid w:val="00154149"/>
    <w:pPr>
      <w:ind w:left="720"/>
    </w:pPr>
    <w:rPr>
      <w:rFonts w:ascii="Calibri" w:eastAsiaTheme="minorHAnsi" w:hAnsi="Calibri"/>
      <w:szCs w:val="22"/>
    </w:rPr>
  </w:style>
  <w:style w:type="table" w:styleId="Tablaconcuadrcula">
    <w:name w:val="Table Grid"/>
    <w:basedOn w:val="Tablanormal"/>
    <w:uiPriority w:val="59"/>
    <w:rsid w:val="00CF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59718D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7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rafodelistaCar">
    <w:name w:val="Párrafo de lista Car"/>
    <w:aliases w:val="BOE Car"/>
    <w:link w:val="Prrafodelista"/>
    <w:uiPriority w:val="34"/>
    <w:rsid w:val="00305A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cta%20Com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49EA-A016-4D48-BBD4-F4F1719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Comisión.dot</Template>
  <TotalTime>1560</TotalTime>
  <Pages>3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Universidad de Jaén, el día 13 de marzo de 2000, a las 10:00 horas, tiene lugar la reunión de la Comisión de Biblioteca, con la asistencia de los siguientes miembros:</vt:lpstr>
    </vt:vector>
  </TitlesOfParts>
  <Company>Universidad de Jaén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Universidad de Jaén, el día 13 de marzo de 2000, a las 10:00 horas, tiene lugar la reunión de la Comisión de Biblioteca, con la asistencia de los siguientes miembros:</dc:title>
  <dc:creator>Servicio Central Informática</dc:creator>
  <cp:lastModifiedBy>UJA</cp:lastModifiedBy>
  <cp:revision>233</cp:revision>
  <cp:lastPrinted>2019-11-27T11:11:00Z</cp:lastPrinted>
  <dcterms:created xsi:type="dcterms:W3CDTF">2017-09-28T10:00:00Z</dcterms:created>
  <dcterms:modified xsi:type="dcterms:W3CDTF">2021-12-10T11:59:00Z</dcterms:modified>
</cp:coreProperties>
</file>