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BAA" w:rsidRDefault="00420BAA" w:rsidP="00311452">
      <w:pPr>
        <w:spacing w:after="0" w:line="288"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4A79DDD2" wp14:editId="403FA744">
            <wp:extent cx="1764792" cy="1901952"/>
            <wp:effectExtent l="0" t="0" r="698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P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792" cy="1901952"/>
                    </a:xfrm>
                    <a:prstGeom prst="rect">
                      <a:avLst/>
                    </a:prstGeom>
                  </pic:spPr>
                </pic:pic>
              </a:graphicData>
            </a:graphic>
          </wp:inline>
        </w:drawing>
      </w:r>
    </w:p>
    <w:p w:rsidR="00420BAA" w:rsidRDefault="00420BAA" w:rsidP="00311452">
      <w:pPr>
        <w:spacing w:after="0" w:line="288" w:lineRule="auto"/>
        <w:jc w:val="center"/>
        <w:rPr>
          <w:rFonts w:ascii="Palatino Linotype" w:eastAsia="Palatino Linotype" w:hAnsi="Palatino Linotype" w:cs="Palatino Linotype"/>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311452" w:rsidTr="00311452">
        <w:trPr>
          <w:trHeight w:val="1304"/>
        </w:trPr>
        <w:tc>
          <w:tcPr>
            <w:tcW w:w="8488" w:type="dxa"/>
            <w:tcBorders>
              <w:top w:val="single" w:sz="18" w:space="0" w:color="1F497D" w:themeColor="text2"/>
              <w:bottom w:val="single" w:sz="18" w:space="0" w:color="1F497D" w:themeColor="text2"/>
            </w:tcBorders>
            <w:vAlign w:val="center"/>
          </w:tcPr>
          <w:p w:rsidR="00311452" w:rsidRPr="00656A1A" w:rsidRDefault="00311452" w:rsidP="00311452">
            <w:pPr>
              <w:spacing w:line="288" w:lineRule="auto"/>
              <w:ind w:right="113"/>
              <w:jc w:val="center"/>
              <w:rPr>
                <w:rFonts w:ascii="Candara" w:eastAsia="Palatino Linotype" w:hAnsi="Candara" w:cstheme="majorHAnsi"/>
                <w:b/>
                <w:sz w:val="32"/>
                <w:szCs w:val="32"/>
              </w:rPr>
            </w:pPr>
            <w:r w:rsidRPr="00656A1A">
              <w:rPr>
                <w:rFonts w:ascii="Candara" w:hAnsi="Candara" w:cstheme="majorHAnsi"/>
                <w:b/>
                <w:sz w:val="32"/>
                <w:szCs w:val="32"/>
              </w:rPr>
              <w:t>PLIEGO DE PRESCRIPCIONES TÉCNICAS</w:t>
            </w:r>
          </w:p>
        </w:tc>
      </w:tr>
    </w:tbl>
    <w:p w:rsidR="00EE7C24" w:rsidRDefault="00EE7C24">
      <w:pPr>
        <w:spacing w:after="0" w:line="288" w:lineRule="auto"/>
        <w:ind w:right="113"/>
        <w:rPr>
          <w:rFonts w:ascii="Palatino Linotype" w:eastAsia="Palatino Linotype" w:hAnsi="Palatino Linotype" w:cs="Palatino Linotype"/>
          <w:sz w:val="24"/>
          <w:szCs w:val="24"/>
        </w:rPr>
      </w:pPr>
    </w:p>
    <w:p w:rsidR="00311452" w:rsidRDefault="00311452" w:rsidP="00311452">
      <w:pPr>
        <w:spacing w:after="0" w:line="288" w:lineRule="auto"/>
        <w:ind w:right="113"/>
        <w:jc w:val="center"/>
        <w:rPr>
          <w:rFonts w:ascii="Palatino Linotype" w:eastAsia="Palatino Linotype" w:hAnsi="Palatino Linotype" w:cs="Palatino Linotype"/>
          <w:sz w:val="24"/>
          <w:szCs w:val="24"/>
        </w:rPr>
      </w:pPr>
    </w:p>
    <w:p w:rsidR="00EE7C24" w:rsidRDefault="00EE7C24">
      <w:pPr>
        <w:spacing w:after="0" w:line="288" w:lineRule="auto"/>
        <w:ind w:right="113"/>
        <w:rPr>
          <w:rFonts w:ascii="Palatino Linotype" w:eastAsia="Palatino Linotype" w:hAnsi="Palatino Linotype" w:cs="Palatino Linotype"/>
          <w:sz w:val="24"/>
          <w:szCs w:val="24"/>
        </w:rPr>
      </w:pPr>
    </w:p>
    <w:p w:rsidR="00420BAA" w:rsidRDefault="00420BAA">
      <w:pPr>
        <w:spacing w:after="0" w:line="288" w:lineRule="auto"/>
        <w:ind w:right="113"/>
        <w:rPr>
          <w:rFonts w:ascii="Palatino Linotype" w:eastAsia="Palatino Linotype" w:hAnsi="Palatino Linotype" w:cs="Palatino Linotype"/>
          <w:sz w:val="24"/>
          <w:szCs w:val="24"/>
        </w:rPr>
      </w:pPr>
    </w:p>
    <w:p w:rsidR="00420BAA" w:rsidRDefault="00420BAA">
      <w:pPr>
        <w:spacing w:after="0" w:line="288" w:lineRule="auto"/>
        <w:ind w:right="113"/>
        <w:rPr>
          <w:rFonts w:ascii="Palatino Linotype" w:eastAsia="Palatino Linotype" w:hAnsi="Palatino Linotype" w:cs="Palatino Linotype"/>
          <w:sz w:val="24"/>
          <w:szCs w:val="24"/>
        </w:rPr>
      </w:pPr>
    </w:p>
    <w:p w:rsidR="00EE7C24" w:rsidRDefault="00EE7C24">
      <w:pPr>
        <w:spacing w:after="0" w:line="288" w:lineRule="auto"/>
        <w:ind w:right="113"/>
        <w:rPr>
          <w:rFonts w:ascii="Palatino Linotype" w:eastAsia="Palatino Linotype" w:hAnsi="Palatino Linotype" w:cs="Palatino Linotype"/>
          <w:sz w:val="24"/>
          <w:szCs w:val="24"/>
        </w:rPr>
      </w:pPr>
    </w:p>
    <w:tbl>
      <w:tblPr>
        <w:tblStyle w:val="a0"/>
        <w:tblW w:w="8513" w:type="dxa"/>
        <w:jc w:val="center"/>
        <w:tblInd w:w="0" w:type="dxa"/>
        <w:tblLayout w:type="fixed"/>
        <w:tblLook w:val="0400" w:firstRow="0" w:lastRow="0" w:firstColumn="0" w:lastColumn="0" w:noHBand="0" w:noVBand="1"/>
      </w:tblPr>
      <w:tblGrid>
        <w:gridCol w:w="1701"/>
        <w:gridCol w:w="6812"/>
      </w:tblGrid>
      <w:tr w:rsidR="00EE7C24" w:rsidTr="00656A1A">
        <w:trPr>
          <w:trHeight w:val="567"/>
          <w:jc w:val="center"/>
        </w:trPr>
        <w:tc>
          <w:tcPr>
            <w:tcW w:w="1701" w:type="dxa"/>
            <w:tcBorders>
              <w:top w:val="nil"/>
              <w:left w:val="nil"/>
              <w:bottom w:val="nil"/>
              <w:right w:val="single" w:sz="18" w:space="0" w:color="1F497D"/>
            </w:tcBorders>
            <w:vAlign w:val="center"/>
          </w:tcPr>
          <w:p w:rsidR="00EE7C24" w:rsidRPr="00656A1A" w:rsidRDefault="005041FA" w:rsidP="00420BAA">
            <w:pPr>
              <w:spacing w:after="0" w:line="288" w:lineRule="auto"/>
              <w:ind w:right="113"/>
              <w:rPr>
                <w:rFonts w:asciiTheme="majorHAnsi" w:eastAsia="Calibri" w:hAnsiTheme="majorHAnsi" w:cstheme="majorHAnsi"/>
                <w:b/>
                <w:color w:val="323E4F"/>
              </w:rPr>
            </w:pPr>
            <w:r w:rsidRPr="00656A1A">
              <w:rPr>
                <w:rFonts w:asciiTheme="majorHAnsi" w:eastAsia="Calibri" w:hAnsiTheme="majorHAnsi" w:cstheme="majorHAnsi"/>
                <w:b/>
                <w:color w:val="323E4F"/>
              </w:rPr>
              <w:t>Expediente</w:t>
            </w:r>
          </w:p>
        </w:tc>
        <w:tc>
          <w:tcPr>
            <w:tcW w:w="6812" w:type="dxa"/>
            <w:tcBorders>
              <w:top w:val="nil"/>
              <w:left w:val="single" w:sz="18" w:space="0" w:color="1F497D"/>
              <w:bottom w:val="nil"/>
              <w:right w:val="nil"/>
            </w:tcBorders>
            <w:vAlign w:val="center"/>
          </w:tcPr>
          <w:p w:rsidR="00EE7C24" w:rsidRPr="005F6D41" w:rsidRDefault="005F6D41" w:rsidP="00420BAA">
            <w:pPr>
              <w:spacing w:after="0" w:line="288" w:lineRule="auto"/>
              <w:ind w:left="459" w:right="113"/>
              <w:rPr>
                <w:rFonts w:asciiTheme="majorHAnsi" w:eastAsia="Calibri" w:hAnsiTheme="majorHAnsi" w:cstheme="majorHAnsi"/>
              </w:rPr>
            </w:pPr>
            <w:r w:rsidRPr="005F6D41">
              <w:rPr>
                <w:rFonts w:asciiTheme="majorHAnsi" w:hAnsiTheme="majorHAnsi" w:cstheme="majorHAnsi"/>
                <w:color w:val="FF0000"/>
              </w:rPr>
              <w:t>Se indicará por el Servicio de Contratación y Patrimonio</w:t>
            </w:r>
          </w:p>
        </w:tc>
      </w:tr>
      <w:tr w:rsidR="00EE7C24" w:rsidTr="00656A1A">
        <w:trPr>
          <w:trHeight w:val="850"/>
          <w:jc w:val="center"/>
        </w:trPr>
        <w:tc>
          <w:tcPr>
            <w:tcW w:w="1701" w:type="dxa"/>
            <w:tcBorders>
              <w:top w:val="nil"/>
              <w:left w:val="nil"/>
              <w:bottom w:val="nil"/>
              <w:right w:val="single" w:sz="18" w:space="0" w:color="1F497D"/>
            </w:tcBorders>
            <w:vAlign w:val="center"/>
          </w:tcPr>
          <w:p w:rsidR="00EE7C24" w:rsidRPr="00656A1A" w:rsidRDefault="005041FA" w:rsidP="00420BAA">
            <w:pPr>
              <w:spacing w:after="0" w:line="288" w:lineRule="auto"/>
              <w:ind w:right="113"/>
              <w:rPr>
                <w:rFonts w:asciiTheme="majorHAnsi" w:eastAsia="Calibri" w:hAnsiTheme="majorHAnsi" w:cstheme="majorHAnsi"/>
                <w:b/>
                <w:color w:val="323E4F"/>
              </w:rPr>
            </w:pPr>
            <w:r w:rsidRPr="00656A1A">
              <w:rPr>
                <w:rFonts w:asciiTheme="majorHAnsi" w:eastAsia="Calibri" w:hAnsiTheme="majorHAnsi" w:cstheme="majorHAnsi"/>
                <w:b/>
                <w:color w:val="323E4F"/>
              </w:rPr>
              <w:t>Título:</w:t>
            </w:r>
          </w:p>
        </w:tc>
        <w:tc>
          <w:tcPr>
            <w:tcW w:w="6812" w:type="dxa"/>
            <w:tcBorders>
              <w:top w:val="nil"/>
              <w:left w:val="single" w:sz="18" w:space="0" w:color="1F497D"/>
              <w:bottom w:val="nil"/>
              <w:right w:val="nil"/>
            </w:tcBorders>
            <w:vAlign w:val="center"/>
          </w:tcPr>
          <w:p w:rsidR="00EE7C24" w:rsidRPr="00656A1A" w:rsidRDefault="005F6D41" w:rsidP="00420BAA">
            <w:pPr>
              <w:spacing w:after="0" w:line="240" w:lineRule="auto"/>
              <w:ind w:left="459" w:right="113"/>
              <w:rPr>
                <w:rFonts w:asciiTheme="majorHAnsi" w:eastAsia="Calibri" w:hAnsiTheme="majorHAnsi" w:cstheme="majorHAnsi"/>
              </w:rPr>
            </w:pPr>
            <w:r w:rsidRPr="005F6D41">
              <w:rPr>
                <w:rFonts w:asciiTheme="majorHAnsi" w:eastAsia="Calibri" w:hAnsiTheme="majorHAnsi" w:cstheme="majorHAnsi"/>
              </w:rPr>
              <w:t xml:space="preserve">Suministro e instalación de …. </w:t>
            </w:r>
            <w:r w:rsidRPr="005F6D41">
              <w:rPr>
                <w:rFonts w:asciiTheme="majorHAnsi" w:eastAsia="Calibri" w:hAnsiTheme="majorHAnsi" w:cstheme="majorHAnsi"/>
                <w:color w:val="FF0000"/>
              </w:rPr>
              <w:t>Se determinará por la Unidad promotora del contrato.</w:t>
            </w:r>
          </w:p>
        </w:tc>
      </w:tr>
      <w:tr w:rsidR="00EE7C24" w:rsidTr="00656A1A">
        <w:trPr>
          <w:trHeight w:val="567"/>
          <w:jc w:val="center"/>
        </w:trPr>
        <w:tc>
          <w:tcPr>
            <w:tcW w:w="1701" w:type="dxa"/>
            <w:tcBorders>
              <w:top w:val="nil"/>
              <w:left w:val="nil"/>
              <w:bottom w:val="nil"/>
              <w:right w:val="single" w:sz="18" w:space="0" w:color="1F497D"/>
            </w:tcBorders>
            <w:vAlign w:val="center"/>
          </w:tcPr>
          <w:p w:rsidR="005F6D41" w:rsidRDefault="005F6D41" w:rsidP="00420BAA">
            <w:pPr>
              <w:spacing w:after="0" w:line="288" w:lineRule="auto"/>
              <w:ind w:right="113"/>
              <w:rPr>
                <w:rFonts w:asciiTheme="majorHAnsi" w:eastAsia="Calibri" w:hAnsiTheme="majorHAnsi" w:cstheme="majorHAnsi"/>
                <w:b/>
                <w:color w:val="323E4F"/>
              </w:rPr>
            </w:pPr>
          </w:p>
          <w:p w:rsidR="00EE7C24" w:rsidRPr="00656A1A" w:rsidRDefault="005041FA" w:rsidP="00420BAA">
            <w:pPr>
              <w:spacing w:after="0" w:line="288" w:lineRule="auto"/>
              <w:ind w:right="113"/>
              <w:rPr>
                <w:rFonts w:asciiTheme="majorHAnsi" w:eastAsia="Calibri" w:hAnsiTheme="majorHAnsi" w:cstheme="majorHAnsi"/>
                <w:b/>
                <w:color w:val="323E4F"/>
              </w:rPr>
            </w:pPr>
            <w:r w:rsidRPr="00656A1A">
              <w:rPr>
                <w:rFonts w:asciiTheme="majorHAnsi" w:eastAsia="Calibri" w:hAnsiTheme="majorHAnsi" w:cstheme="majorHAnsi"/>
                <w:b/>
                <w:color w:val="323E4F"/>
              </w:rPr>
              <w:t>Localidad:</w:t>
            </w:r>
          </w:p>
        </w:tc>
        <w:tc>
          <w:tcPr>
            <w:tcW w:w="6812" w:type="dxa"/>
            <w:tcBorders>
              <w:top w:val="nil"/>
              <w:left w:val="single" w:sz="18" w:space="0" w:color="1F497D"/>
              <w:bottom w:val="nil"/>
              <w:right w:val="nil"/>
            </w:tcBorders>
            <w:vAlign w:val="center"/>
          </w:tcPr>
          <w:p w:rsidR="00EE7C24" w:rsidRDefault="00EE7C24" w:rsidP="00420BAA">
            <w:pPr>
              <w:spacing w:after="0" w:line="288" w:lineRule="auto"/>
              <w:ind w:left="459" w:right="113"/>
              <w:rPr>
                <w:rFonts w:asciiTheme="majorHAnsi" w:eastAsia="Calibri" w:hAnsiTheme="majorHAnsi" w:cstheme="majorHAnsi"/>
              </w:rPr>
            </w:pPr>
          </w:p>
          <w:p w:rsidR="005F6D41" w:rsidRPr="00656A1A" w:rsidRDefault="005F6D41" w:rsidP="00420BAA">
            <w:pPr>
              <w:spacing w:after="0" w:line="288" w:lineRule="auto"/>
              <w:ind w:left="459" w:right="113"/>
              <w:rPr>
                <w:rFonts w:asciiTheme="majorHAnsi" w:eastAsia="Calibri" w:hAnsiTheme="majorHAnsi" w:cstheme="majorHAnsi"/>
              </w:rPr>
            </w:pPr>
            <w:r w:rsidRPr="005F6D41">
              <w:rPr>
                <w:rFonts w:asciiTheme="majorHAnsi" w:eastAsia="Calibri" w:hAnsiTheme="majorHAnsi" w:cstheme="majorHAnsi"/>
                <w:color w:val="FF0000"/>
              </w:rPr>
              <w:t>Jaén o Linares</w:t>
            </w:r>
          </w:p>
        </w:tc>
      </w:tr>
      <w:tr w:rsidR="00EE7C24" w:rsidTr="00656A1A">
        <w:trPr>
          <w:trHeight w:val="567"/>
          <w:jc w:val="center"/>
        </w:trPr>
        <w:tc>
          <w:tcPr>
            <w:tcW w:w="1701" w:type="dxa"/>
            <w:tcBorders>
              <w:top w:val="nil"/>
              <w:left w:val="nil"/>
              <w:bottom w:val="nil"/>
              <w:right w:val="single" w:sz="18" w:space="0" w:color="1F497D"/>
            </w:tcBorders>
            <w:vAlign w:val="center"/>
          </w:tcPr>
          <w:p w:rsidR="005F6D41" w:rsidRDefault="005F6D41" w:rsidP="00420BAA">
            <w:pPr>
              <w:spacing w:after="0" w:line="288" w:lineRule="auto"/>
              <w:ind w:right="113"/>
              <w:rPr>
                <w:rFonts w:asciiTheme="majorHAnsi" w:eastAsia="Calibri" w:hAnsiTheme="majorHAnsi" w:cstheme="majorHAnsi"/>
                <w:b/>
                <w:color w:val="323E4F"/>
              </w:rPr>
            </w:pPr>
          </w:p>
          <w:p w:rsidR="00EE7C24" w:rsidRPr="00656A1A" w:rsidRDefault="005041FA" w:rsidP="00420BAA">
            <w:pPr>
              <w:spacing w:after="0" w:line="288" w:lineRule="auto"/>
              <w:ind w:right="113"/>
              <w:rPr>
                <w:rFonts w:asciiTheme="majorHAnsi" w:eastAsia="Calibri" w:hAnsiTheme="majorHAnsi" w:cstheme="majorHAnsi"/>
                <w:b/>
                <w:color w:val="323E4F"/>
              </w:rPr>
            </w:pPr>
            <w:r w:rsidRPr="00656A1A">
              <w:rPr>
                <w:rFonts w:asciiTheme="majorHAnsi" w:eastAsia="Calibri" w:hAnsiTheme="majorHAnsi" w:cstheme="majorHAnsi"/>
                <w:b/>
                <w:color w:val="323E4F"/>
              </w:rPr>
              <w:t>Código CPV:</w:t>
            </w:r>
          </w:p>
        </w:tc>
        <w:tc>
          <w:tcPr>
            <w:tcW w:w="6812" w:type="dxa"/>
            <w:tcBorders>
              <w:top w:val="nil"/>
              <w:left w:val="single" w:sz="18" w:space="0" w:color="1F497D"/>
              <w:bottom w:val="nil"/>
              <w:right w:val="nil"/>
            </w:tcBorders>
            <w:vAlign w:val="center"/>
          </w:tcPr>
          <w:p w:rsidR="00EE7C24" w:rsidRDefault="00EE7C24" w:rsidP="00656A1A">
            <w:pPr>
              <w:spacing w:after="0" w:line="288" w:lineRule="auto"/>
              <w:ind w:left="459"/>
              <w:rPr>
                <w:rFonts w:asciiTheme="majorHAnsi" w:eastAsia="Calibri" w:hAnsiTheme="majorHAnsi" w:cstheme="majorHAnsi"/>
              </w:rPr>
            </w:pPr>
          </w:p>
          <w:p w:rsidR="005F6D41" w:rsidRPr="00656A1A" w:rsidRDefault="005F6D41" w:rsidP="00656A1A">
            <w:pPr>
              <w:spacing w:after="0" w:line="288" w:lineRule="auto"/>
              <w:ind w:left="459"/>
              <w:rPr>
                <w:rFonts w:asciiTheme="majorHAnsi" w:eastAsia="Calibri" w:hAnsiTheme="majorHAnsi" w:cstheme="majorHAnsi"/>
              </w:rPr>
            </w:pPr>
            <w:r w:rsidRPr="005F6D41">
              <w:rPr>
                <w:rFonts w:asciiTheme="majorHAnsi" w:eastAsia="Calibri" w:hAnsiTheme="majorHAnsi" w:cstheme="majorHAnsi"/>
                <w:color w:val="FF0000"/>
              </w:rPr>
              <w:t>Se indicará por el Servicio de Contratación y Patrimonio</w:t>
            </w:r>
          </w:p>
        </w:tc>
      </w:tr>
      <w:tr w:rsidR="00EE7C24" w:rsidTr="00656A1A">
        <w:trPr>
          <w:trHeight w:val="567"/>
          <w:jc w:val="center"/>
        </w:trPr>
        <w:tc>
          <w:tcPr>
            <w:tcW w:w="1701" w:type="dxa"/>
            <w:tcBorders>
              <w:top w:val="nil"/>
              <w:left w:val="nil"/>
              <w:bottom w:val="nil"/>
              <w:right w:val="single" w:sz="18" w:space="0" w:color="1F497D"/>
            </w:tcBorders>
            <w:vAlign w:val="center"/>
          </w:tcPr>
          <w:p w:rsidR="005F6D41" w:rsidRDefault="005F6D41" w:rsidP="00420BAA">
            <w:pPr>
              <w:spacing w:after="0" w:line="288" w:lineRule="auto"/>
              <w:ind w:right="113"/>
              <w:rPr>
                <w:rFonts w:asciiTheme="majorHAnsi" w:eastAsia="Calibri" w:hAnsiTheme="majorHAnsi" w:cstheme="majorHAnsi"/>
                <w:b/>
                <w:color w:val="323E4F"/>
              </w:rPr>
            </w:pPr>
          </w:p>
          <w:p w:rsidR="00EE7C24" w:rsidRPr="00656A1A" w:rsidRDefault="005041FA" w:rsidP="00420BAA">
            <w:pPr>
              <w:spacing w:after="0" w:line="288" w:lineRule="auto"/>
              <w:ind w:right="113"/>
              <w:rPr>
                <w:rFonts w:asciiTheme="majorHAnsi" w:eastAsia="Calibri" w:hAnsiTheme="majorHAnsi" w:cstheme="majorHAnsi"/>
                <w:b/>
                <w:color w:val="323E4F"/>
              </w:rPr>
            </w:pPr>
            <w:r w:rsidRPr="00656A1A">
              <w:rPr>
                <w:rFonts w:asciiTheme="majorHAnsi" w:eastAsia="Calibri" w:hAnsiTheme="majorHAnsi" w:cstheme="majorHAnsi"/>
                <w:b/>
                <w:color w:val="323E4F"/>
              </w:rPr>
              <w:t>Procedimiento</w:t>
            </w:r>
          </w:p>
        </w:tc>
        <w:tc>
          <w:tcPr>
            <w:tcW w:w="6812" w:type="dxa"/>
            <w:tcBorders>
              <w:top w:val="nil"/>
              <w:left w:val="single" w:sz="18" w:space="0" w:color="1F497D"/>
              <w:bottom w:val="nil"/>
              <w:right w:val="nil"/>
            </w:tcBorders>
            <w:vAlign w:val="center"/>
          </w:tcPr>
          <w:p w:rsidR="005F6D41" w:rsidRDefault="005F6D41" w:rsidP="00656A1A">
            <w:pPr>
              <w:spacing w:after="0" w:line="240" w:lineRule="auto"/>
              <w:ind w:left="459" w:right="113"/>
              <w:jc w:val="both"/>
              <w:rPr>
                <w:rFonts w:asciiTheme="majorHAnsi" w:eastAsia="Calibri" w:hAnsiTheme="majorHAnsi" w:cstheme="majorHAnsi"/>
              </w:rPr>
            </w:pPr>
          </w:p>
          <w:p w:rsidR="00EE7C24" w:rsidRPr="00656A1A" w:rsidRDefault="005F6D41" w:rsidP="00656A1A">
            <w:pPr>
              <w:spacing w:after="0" w:line="240" w:lineRule="auto"/>
              <w:ind w:left="459" w:right="113"/>
              <w:jc w:val="both"/>
              <w:rPr>
                <w:rFonts w:asciiTheme="majorHAnsi" w:eastAsia="Calibri" w:hAnsiTheme="majorHAnsi" w:cstheme="majorHAnsi"/>
              </w:rPr>
            </w:pPr>
            <w:r w:rsidRPr="005F6D41">
              <w:rPr>
                <w:rFonts w:asciiTheme="majorHAnsi" w:eastAsia="Calibri" w:hAnsiTheme="majorHAnsi" w:cstheme="majorHAnsi"/>
                <w:color w:val="FF0000"/>
              </w:rPr>
              <w:t>Se indicará por el Servicio de Contratación y Patrimonio</w:t>
            </w:r>
          </w:p>
        </w:tc>
      </w:tr>
    </w:tbl>
    <w:p w:rsidR="005F6D41" w:rsidRDefault="005F6D41">
      <w:pPr>
        <w:spacing w:after="0" w:line="288" w:lineRule="auto"/>
      </w:pPr>
    </w:p>
    <w:p w:rsidR="005F6D41" w:rsidRDefault="005F6D41">
      <w:pPr>
        <w:spacing w:after="0" w:line="288" w:lineRule="auto"/>
      </w:pPr>
    </w:p>
    <w:p w:rsidR="005F6D41" w:rsidRDefault="005F6D41">
      <w:pPr>
        <w:spacing w:after="0" w:line="288" w:lineRule="auto"/>
      </w:pPr>
    </w:p>
    <w:p w:rsidR="005F6D41" w:rsidRDefault="005F6D41">
      <w:pPr>
        <w:spacing w:after="0" w:line="288" w:lineRule="auto"/>
      </w:pPr>
    </w:p>
    <w:p w:rsidR="005F6D41" w:rsidRPr="005F6D41" w:rsidRDefault="005F6D41" w:rsidP="005F6D41">
      <w:pPr>
        <w:jc w:val="both"/>
        <w:rPr>
          <w:rFonts w:asciiTheme="majorHAnsi" w:eastAsia="Calibri" w:hAnsiTheme="majorHAnsi" w:cstheme="majorHAnsi"/>
          <w:b/>
          <w:color w:val="17365D" w:themeColor="text2" w:themeShade="BF"/>
          <w:sz w:val="24"/>
          <w:szCs w:val="24"/>
          <w:lang w:val="es-ES_tradnl"/>
        </w:rPr>
      </w:pPr>
      <w:r w:rsidRPr="005F6D41">
        <w:rPr>
          <w:rFonts w:asciiTheme="majorHAnsi" w:hAnsiTheme="majorHAnsi" w:cstheme="majorHAnsi"/>
          <w:color w:val="FF0000"/>
          <w:sz w:val="24"/>
          <w:szCs w:val="24"/>
        </w:rPr>
        <w:t>En el supuesto de que el suministro esté financiado por alguna entidad externa a la Universidad y con fondos FEDER, se hará referencia a dicha entidad, así como al programa operativo. Además, se incluirán en esta página los anagramas</w:t>
      </w:r>
      <w:r>
        <w:rPr>
          <w:rFonts w:asciiTheme="majorHAnsi" w:hAnsiTheme="majorHAnsi" w:cstheme="majorHAnsi"/>
          <w:color w:val="FF0000"/>
          <w:sz w:val="24"/>
          <w:szCs w:val="24"/>
        </w:rPr>
        <w:t xml:space="preserve"> o logotipos</w:t>
      </w:r>
      <w:r w:rsidRPr="005F6D41">
        <w:rPr>
          <w:rFonts w:asciiTheme="majorHAnsi" w:hAnsiTheme="majorHAnsi" w:cstheme="majorHAnsi"/>
          <w:color w:val="FF0000"/>
          <w:sz w:val="24"/>
          <w:szCs w:val="24"/>
        </w:rPr>
        <w:t xml:space="preserve"> de las entidades financiadoras.</w:t>
      </w:r>
      <w:r w:rsidRPr="005F6D41">
        <w:rPr>
          <w:rFonts w:asciiTheme="majorHAnsi" w:eastAsia="Calibri" w:hAnsiTheme="majorHAnsi" w:cstheme="majorHAnsi"/>
          <w:b/>
          <w:color w:val="FF0000"/>
          <w:sz w:val="24"/>
          <w:szCs w:val="24"/>
          <w:lang w:val="es-ES_tradnl"/>
        </w:rPr>
        <w:t xml:space="preserve"> </w:t>
      </w:r>
      <w:r w:rsidRPr="005F6D41">
        <w:rPr>
          <w:rFonts w:asciiTheme="majorHAnsi" w:eastAsia="Calibri" w:hAnsiTheme="majorHAnsi" w:cstheme="majorHAnsi"/>
          <w:b/>
          <w:color w:val="17365D" w:themeColor="text2" w:themeShade="BF"/>
          <w:sz w:val="24"/>
          <w:szCs w:val="24"/>
          <w:lang w:val="es-ES_tradnl"/>
        </w:rPr>
        <w:br w:type="page"/>
      </w:r>
    </w:p>
    <w:p w:rsidR="00EE7C24" w:rsidRDefault="00420BAA" w:rsidP="00420BAA">
      <w:pPr>
        <w:spacing w:after="0" w:line="288" w:lineRule="auto"/>
        <w:jc w:val="both"/>
        <w:rPr>
          <w:rFonts w:ascii="Calibri" w:eastAsia="Calibri" w:hAnsi="Calibri" w:cs="Calibri"/>
          <w:b/>
          <w:color w:val="17365D"/>
          <w:sz w:val="24"/>
          <w:szCs w:val="24"/>
        </w:rPr>
      </w:pPr>
      <w:bookmarkStart w:id="0" w:name="_heading=h.bpltdnr3tgr9" w:colFirst="0" w:colLast="0"/>
      <w:bookmarkStart w:id="1" w:name="_heading=h.gadloz72zfja" w:colFirst="0" w:colLast="0"/>
      <w:bookmarkStart w:id="2" w:name="_heading=h.gjdgxs" w:colFirst="0" w:colLast="0"/>
      <w:bookmarkStart w:id="3" w:name="_heading=h.8lo8x9x8dzx9" w:colFirst="0" w:colLast="0"/>
      <w:bookmarkStart w:id="4" w:name="_heading=h.j5yugahzwblo" w:colFirst="0" w:colLast="0"/>
      <w:bookmarkStart w:id="5" w:name="_heading=h.6046oh7mfepp" w:colFirst="0" w:colLast="0"/>
      <w:bookmarkStart w:id="6" w:name="_heading=h.paap22285r9l" w:colFirst="0" w:colLast="0"/>
      <w:bookmarkStart w:id="7" w:name="_heading=h.shzu6y8o5ubo" w:colFirst="0" w:colLast="0"/>
      <w:bookmarkStart w:id="8" w:name="_heading=h.lsuc2nawsq6u" w:colFirst="0" w:colLast="0"/>
      <w:bookmarkStart w:id="9" w:name="_heading=h.ps557zcn9nkf" w:colFirst="0" w:colLast="0"/>
      <w:bookmarkEnd w:id="0"/>
      <w:bookmarkEnd w:id="1"/>
      <w:bookmarkEnd w:id="2"/>
      <w:bookmarkEnd w:id="3"/>
      <w:bookmarkEnd w:id="4"/>
      <w:bookmarkEnd w:id="5"/>
      <w:bookmarkEnd w:id="6"/>
      <w:bookmarkEnd w:id="7"/>
      <w:bookmarkEnd w:id="8"/>
      <w:bookmarkEnd w:id="9"/>
      <w:r>
        <w:rPr>
          <w:rFonts w:ascii="Calibri" w:eastAsia="Calibri" w:hAnsi="Calibri" w:cs="Calibri"/>
          <w:b/>
          <w:color w:val="17365D"/>
          <w:sz w:val="24"/>
          <w:szCs w:val="24"/>
        </w:rPr>
        <w:lastRenderedPageBreak/>
        <w:t xml:space="preserve">1. </w:t>
      </w:r>
      <w:r w:rsidR="005041FA">
        <w:rPr>
          <w:rFonts w:ascii="Calibri" w:eastAsia="Calibri" w:hAnsi="Calibri" w:cs="Calibri"/>
          <w:b/>
          <w:color w:val="17365D"/>
          <w:sz w:val="24"/>
          <w:szCs w:val="24"/>
        </w:rPr>
        <w:t>OBJETO DEL CONTRATO.</w:t>
      </w:r>
    </w:p>
    <w:p w:rsidR="00EE7C24" w:rsidRDefault="00EE7C24">
      <w:pPr>
        <w:spacing w:after="0" w:line="288" w:lineRule="auto"/>
        <w:jc w:val="both"/>
        <w:rPr>
          <w:rFonts w:ascii="Calibri" w:eastAsia="Calibri" w:hAnsi="Calibri" w:cs="Calibri"/>
          <w:b/>
          <w:color w:val="17365D"/>
          <w:sz w:val="24"/>
          <w:szCs w:val="24"/>
        </w:rPr>
      </w:pPr>
    </w:p>
    <w:p w:rsidR="005F6D41" w:rsidRPr="005F6D41" w:rsidRDefault="005F6D41" w:rsidP="005F6D41">
      <w:pPr>
        <w:spacing w:after="0" w:line="288" w:lineRule="auto"/>
        <w:jc w:val="both"/>
        <w:rPr>
          <w:rFonts w:ascii="Calibri" w:eastAsia="Calibri" w:hAnsi="Calibri" w:cs="Calibri"/>
          <w:color w:val="FF0000"/>
          <w:sz w:val="24"/>
          <w:szCs w:val="24"/>
        </w:rPr>
      </w:pPr>
      <w:r w:rsidRPr="005F6D41">
        <w:rPr>
          <w:rFonts w:ascii="Calibri" w:eastAsia="Calibri" w:hAnsi="Calibri" w:cs="Calibri"/>
          <w:sz w:val="24"/>
          <w:szCs w:val="24"/>
        </w:rPr>
        <w:t xml:space="preserve">El objeto del presente contrato consiste en el suministro, entrega, instalación y puesta en marcha </w:t>
      </w:r>
      <w:r w:rsidRPr="005F6D41">
        <w:rPr>
          <w:rFonts w:ascii="Calibri" w:eastAsia="Calibri" w:hAnsi="Calibri" w:cs="Calibri"/>
          <w:color w:val="FF0000"/>
          <w:sz w:val="24"/>
          <w:szCs w:val="24"/>
        </w:rPr>
        <w:t>en caso de ser necesario de (descripción del equipamiento de forma genérica).</w:t>
      </w:r>
    </w:p>
    <w:p w:rsidR="005F6D41" w:rsidRPr="005F6D41" w:rsidRDefault="005F6D41" w:rsidP="005F6D41">
      <w:pPr>
        <w:spacing w:after="0" w:line="288" w:lineRule="auto"/>
        <w:jc w:val="both"/>
        <w:rPr>
          <w:rFonts w:ascii="Calibri" w:eastAsia="Calibri" w:hAnsi="Calibri" w:cs="Calibri"/>
          <w:color w:val="FF0000"/>
          <w:sz w:val="24"/>
          <w:szCs w:val="24"/>
        </w:rPr>
      </w:pPr>
    </w:p>
    <w:p w:rsidR="00797030" w:rsidRDefault="005F6D41" w:rsidP="005F6D41">
      <w:pPr>
        <w:spacing w:after="0" w:line="288" w:lineRule="auto"/>
        <w:jc w:val="both"/>
        <w:rPr>
          <w:rFonts w:ascii="Calibri" w:eastAsia="Calibri" w:hAnsi="Calibri" w:cs="Calibri"/>
          <w:color w:val="0F243E"/>
          <w:sz w:val="24"/>
          <w:szCs w:val="24"/>
        </w:rPr>
      </w:pPr>
      <w:r w:rsidRPr="005F6D41">
        <w:rPr>
          <w:rFonts w:ascii="Calibri" w:eastAsia="Calibri" w:hAnsi="Calibri" w:cs="Calibri"/>
          <w:color w:val="FF0000"/>
          <w:sz w:val="24"/>
          <w:szCs w:val="24"/>
        </w:rPr>
        <w:t>Por ejemplo: Equipamiento para la dotación del laboratorio de Fisiología Vegetal de la Universidad de Jaén.</w:t>
      </w:r>
      <w:r w:rsidRPr="005F6D41">
        <w:rPr>
          <w:rFonts w:ascii="Calibri" w:eastAsia="Calibri" w:hAnsi="Calibri" w:cs="Calibri"/>
          <w:color w:val="FF0000"/>
          <w:sz w:val="24"/>
          <w:szCs w:val="24"/>
        </w:rPr>
        <w:tab/>
      </w:r>
    </w:p>
    <w:p w:rsidR="005F6D41" w:rsidRDefault="005F6D41">
      <w:pPr>
        <w:spacing w:after="0" w:line="288" w:lineRule="auto"/>
        <w:jc w:val="both"/>
        <w:rPr>
          <w:rFonts w:ascii="Calibri" w:eastAsia="Calibri" w:hAnsi="Calibri" w:cs="Calibri"/>
          <w:b/>
          <w:color w:val="17365D"/>
          <w:sz w:val="24"/>
          <w:szCs w:val="24"/>
        </w:rPr>
      </w:pPr>
      <w:bookmarkStart w:id="10" w:name="_heading=h.30j0zll" w:colFirst="0" w:colLast="0"/>
      <w:bookmarkEnd w:id="10"/>
    </w:p>
    <w:p w:rsidR="00EE7C24" w:rsidRDefault="00797030">
      <w:pPr>
        <w:spacing w:after="0" w:line="288" w:lineRule="auto"/>
        <w:jc w:val="both"/>
        <w:rPr>
          <w:rFonts w:ascii="Calibri" w:eastAsia="Calibri" w:hAnsi="Calibri" w:cs="Calibri"/>
          <w:b/>
          <w:color w:val="17365D"/>
          <w:sz w:val="24"/>
          <w:szCs w:val="24"/>
        </w:rPr>
      </w:pPr>
      <w:r>
        <w:rPr>
          <w:rFonts w:ascii="Calibri" w:eastAsia="Calibri" w:hAnsi="Calibri" w:cs="Calibri"/>
          <w:b/>
          <w:color w:val="17365D"/>
          <w:sz w:val="24"/>
          <w:szCs w:val="24"/>
        </w:rPr>
        <w:t>2</w:t>
      </w:r>
      <w:r w:rsidR="005041FA">
        <w:rPr>
          <w:rFonts w:ascii="Calibri" w:eastAsia="Calibri" w:hAnsi="Calibri" w:cs="Calibri"/>
          <w:b/>
          <w:color w:val="17365D"/>
          <w:sz w:val="24"/>
          <w:szCs w:val="24"/>
        </w:rPr>
        <w:t xml:space="preserve">. </w:t>
      </w:r>
      <w:r>
        <w:rPr>
          <w:rFonts w:ascii="Calibri" w:eastAsia="Calibri" w:hAnsi="Calibri" w:cs="Calibri"/>
          <w:b/>
          <w:color w:val="17365D"/>
          <w:sz w:val="24"/>
          <w:szCs w:val="24"/>
        </w:rPr>
        <w:t>CONSIDERACIONES GENERALES.</w:t>
      </w:r>
    </w:p>
    <w:p w:rsidR="00EE7C24" w:rsidRDefault="00EE7C24">
      <w:pPr>
        <w:spacing w:after="0" w:line="288" w:lineRule="auto"/>
        <w:jc w:val="both"/>
        <w:rPr>
          <w:rFonts w:ascii="Calibri" w:eastAsia="Calibri" w:hAnsi="Calibri" w:cs="Calibri"/>
          <w:color w:val="0F243E"/>
          <w:sz w:val="24"/>
          <w:szCs w:val="24"/>
        </w:rPr>
      </w:pPr>
    </w:p>
    <w:p w:rsidR="005F6D41" w:rsidRPr="005F6D41" w:rsidRDefault="005F6D41" w:rsidP="005F6D41">
      <w:pPr>
        <w:spacing w:after="0" w:line="288" w:lineRule="auto"/>
        <w:jc w:val="both"/>
        <w:rPr>
          <w:rFonts w:asciiTheme="majorHAnsi" w:eastAsia="Calibri" w:hAnsiTheme="majorHAnsi" w:cstheme="majorHAnsi"/>
          <w:sz w:val="24"/>
          <w:szCs w:val="24"/>
          <w:lang w:val="es-ES_tradnl"/>
        </w:rPr>
      </w:pPr>
      <w:bookmarkStart w:id="11" w:name="_heading=h.1fob9te" w:colFirst="0" w:colLast="0"/>
      <w:bookmarkEnd w:id="11"/>
      <w:r w:rsidRPr="005F6D41">
        <w:rPr>
          <w:rFonts w:asciiTheme="majorHAnsi" w:eastAsia="Calibri" w:hAnsiTheme="majorHAnsi" w:cstheme="majorHAnsi"/>
          <w:sz w:val="24"/>
          <w:szCs w:val="24"/>
          <w:lang w:val="es-ES_tradnl"/>
        </w:rPr>
        <w:t>Las empresas licitadoras presentarán una única oferta sin variantes sobre el equipamiento objeto de este contrato. En el caso de que el contrato esté dividido en lotes, las empresas podrán presentar oferta a uno o a varios de ellos según se establezca en el Cuadro Resumen del Pliego de Cláusulas Administrativas Particulares. En todo caso, la adjudicación y formalización del contrato se realizará de forma independiente para cada uno de los lotes.</w:t>
      </w:r>
    </w:p>
    <w:p w:rsidR="005F6D41" w:rsidRDefault="005F6D41" w:rsidP="005F6D41">
      <w:pPr>
        <w:spacing w:after="0" w:line="288" w:lineRule="auto"/>
        <w:jc w:val="both"/>
        <w:rPr>
          <w:sz w:val="24"/>
          <w:szCs w:val="24"/>
        </w:rPr>
      </w:pPr>
    </w:p>
    <w:p w:rsidR="001D6E7C" w:rsidRPr="001D6E7C" w:rsidRDefault="001D6E7C" w:rsidP="005F6D41">
      <w:pPr>
        <w:spacing w:after="0" w:line="288" w:lineRule="auto"/>
        <w:jc w:val="both"/>
        <w:rPr>
          <w:rFonts w:ascii="Calibri" w:eastAsia="Calibri" w:hAnsi="Calibri" w:cs="Calibri"/>
          <w:b/>
          <w:color w:val="17365D"/>
          <w:sz w:val="24"/>
          <w:szCs w:val="24"/>
        </w:rPr>
      </w:pPr>
      <w:r w:rsidRPr="001D6E7C">
        <w:rPr>
          <w:rFonts w:ascii="Calibri" w:eastAsia="Calibri" w:hAnsi="Calibri" w:cs="Calibri"/>
          <w:b/>
          <w:color w:val="17365D"/>
          <w:sz w:val="24"/>
          <w:szCs w:val="24"/>
        </w:rPr>
        <w:t>3. CARACTERÍSTICAS DEL EQUIPAMIENTO SOLICITADO.</w:t>
      </w:r>
    </w:p>
    <w:p w:rsidR="001D6E7C" w:rsidRDefault="001D6E7C" w:rsidP="005F6D41">
      <w:pPr>
        <w:spacing w:after="0" w:line="288" w:lineRule="auto"/>
        <w:jc w:val="both"/>
        <w:rPr>
          <w:rFonts w:asciiTheme="majorHAnsi" w:hAnsiTheme="majorHAnsi" w:cstheme="majorHAnsi"/>
          <w:color w:val="FF0000"/>
          <w:sz w:val="24"/>
          <w:szCs w:val="24"/>
        </w:rPr>
      </w:pPr>
    </w:p>
    <w:p w:rsidR="005F6D41" w:rsidRPr="005F6D41" w:rsidRDefault="005F6D41" w:rsidP="005F6D41">
      <w:pPr>
        <w:spacing w:after="0" w:line="288" w:lineRule="auto"/>
        <w:jc w:val="both"/>
        <w:rPr>
          <w:rFonts w:asciiTheme="majorHAnsi" w:hAnsiTheme="majorHAnsi" w:cstheme="majorHAnsi"/>
          <w:color w:val="FF0000"/>
          <w:sz w:val="24"/>
          <w:szCs w:val="24"/>
        </w:rPr>
      </w:pPr>
      <w:r w:rsidRPr="005F6D41">
        <w:rPr>
          <w:rFonts w:asciiTheme="majorHAnsi" w:hAnsiTheme="majorHAnsi" w:cstheme="majorHAnsi"/>
          <w:color w:val="FF0000"/>
          <w:sz w:val="24"/>
          <w:szCs w:val="24"/>
        </w:rPr>
        <w:t xml:space="preserve">A continuación, se describirán </w:t>
      </w:r>
      <w:bookmarkStart w:id="12" w:name="_GoBack"/>
      <w:bookmarkEnd w:id="12"/>
      <w:r w:rsidRPr="005F6D41">
        <w:rPr>
          <w:rFonts w:asciiTheme="majorHAnsi" w:hAnsiTheme="majorHAnsi" w:cstheme="majorHAnsi"/>
          <w:color w:val="FF0000"/>
          <w:sz w:val="24"/>
          <w:szCs w:val="24"/>
        </w:rPr>
        <w:t>las especificaciones, características, prestaciones mínimas, etc., del equipamiento solicitado.</w:t>
      </w:r>
    </w:p>
    <w:p w:rsidR="005F6D41" w:rsidRPr="005F6D41" w:rsidRDefault="005F6D41" w:rsidP="005F6D41">
      <w:pPr>
        <w:spacing w:after="0" w:line="288" w:lineRule="auto"/>
        <w:jc w:val="both"/>
        <w:rPr>
          <w:rFonts w:asciiTheme="majorHAnsi" w:hAnsiTheme="majorHAnsi" w:cstheme="majorHAnsi"/>
          <w:color w:val="FF0000"/>
          <w:sz w:val="24"/>
          <w:szCs w:val="24"/>
        </w:rPr>
      </w:pPr>
    </w:p>
    <w:p w:rsidR="005F6D41" w:rsidRPr="005F6D41" w:rsidRDefault="005F6D41" w:rsidP="005F6D41">
      <w:pPr>
        <w:spacing w:after="0" w:line="288" w:lineRule="auto"/>
        <w:jc w:val="both"/>
        <w:rPr>
          <w:rFonts w:asciiTheme="majorHAnsi" w:hAnsiTheme="majorHAnsi" w:cstheme="majorHAnsi"/>
          <w:color w:val="FF0000"/>
          <w:sz w:val="24"/>
          <w:szCs w:val="24"/>
        </w:rPr>
      </w:pPr>
      <w:r w:rsidRPr="005F6D41">
        <w:rPr>
          <w:rFonts w:asciiTheme="majorHAnsi" w:hAnsiTheme="majorHAnsi" w:cstheme="majorHAnsi"/>
          <w:color w:val="FF0000"/>
          <w:sz w:val="24"/>
          <w:szCs w:val="24"/>
        </w:rPr>
        <w:t>En el caso de que el contrato se divida en varios lotes, este apartado 3 se desarrollará para cada uno de los lotes de la siguiente forma, y a modo de ejemplo:</w:t>
      </w:r>
    </w:p>
    <w:p w:rsidR="005F6D41" w:rsidRPr="005F6D41" w:rsidRDefault="005F6D41" w:rsidP="005F6D41">
      <w:pPr>
        <w:spacing w:after="0" w:line="288" w:lineRule="auto"/>
        <w:jc w:val="both"/>
        <w:rPr>
          <w:rFonts w:asciiTheme="majorHAnsi" w:hAnsiTheme="majorHAnsi" w:cstheme="majorHAnsi"/>
          <w:color w:val="FF0000"/>
          <w:sz w:val="24"/>
          <w:szCs w:val="24"/>
        </w:rPr>
      </w:pPr>
    </w:p>
    <w:p w:rsidR="005F6D41" w:rsidRPr="005F6D41" w:rsidRDefault="005F6D41" w:rsidP="005F6D41">
      <w:pPr>
        <w:spacing w:after="0" w:line="288" w:lineRule="auto"/>
        <w:jc w:val="both"/>
        <w:rPr>
          <w:rFonts w:asciiTheme="majorHAnsi" w:hAnsiTheme="majorHAnsi" w:cstheme="majorHAnsi"/>
          <w:color w:val="FF0000"/>
          <w:sz w:val="24"/>
          <w:szCs w:val="24"/>
        </w:rPr>
      </w:pPr>
      <w:r w:rsidRPr="005F6D41">
        <w:rPr>
          <w:rFonts w:asciiTheme="majorHAnsi" w:hAnsiTheme="majorHAnsi" w:cstheme="majorHAnsi"/>
          <w:color w:val="FF0000"/>
          <w:sz w:val="24"/>
          <w:szCs w:val="24"/>
        </w:rPr>
        <w:t>3.1. LOTE 1: Microscopio electrónico.</w:t>
      </w:r>
    </w:p>
    <w:p w:rsidR="005F6D41" w:rsidRPr="005F6D41" w:rsidRDefault="005F6D41" w:rsidP="005F6D41">
      <w:pPr>
        <w:spacing w:after="0" w:line="288" w:lineRule="auto"/>
        <w:jc w:val="both"/>
        <w:rPr>
          <w:rFonts w:asciiTheme="majorHAnsi" w:hAnsiTheme="majorHAnsi" w:cstheme="majorHAnsi"/>
          <w:color w:val="FF0000"/>
          <w:sz w:val="24"/>
          <w:szCs w:val="24"/>
        </w:rPr>
      </w:pPr>
    </w:p>
    <w:p w:rsidR="005F6D41" w:rsidRPr="005F6D41" w:rsidRDefault="001D6E7C" w:rsidP="005F6D41">
      <w:pPr>
        <w:spacing w:after="0" w:line="288"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Especificar las c</w:t>
      </w:r>
      <w:r w:rsidR="005F6D41" w:rsidRPr="005F6D41">
        <w:rPr>
          <w:rFonts w:asciiTheme="majorHAnsi" w:hAnsiTheme="majorHAnsi" w:cstheme="majorHAnsi"/>
          <w:color w:val="FF0000"/>
          <w:sz w:val="24"/>
          <w:szCs w:val="24"/>
        </w:rPr>
        <w:t>aracterísticas mínimas.</w:t>
      </w:r>
    </w:p>
    <w:p w:rsidR="005F6D41" w:rsidRPr="005F6D41" w:rsidRDefault="005F6D41" w:rsidP="005F6D41">
      <w:pPr>
        <w:spacing w:after="0" w:line="288" w:lineRule="auto"/>
        <w:jc w:val="both"/>
        <w:rPr>
          <w:rFonts w:asciiTheme="majorHAnsi" w:hAnsiTheme="majorHAnsi" w:cstheme="majorHAnsi"/>
          <w:color w:val="FF0000"/>
          <w:sz w:val="24"/>
          <w:szCs w:val="24"/>
        </w:rPr>
      </w:pPr>
    </w:p>
    <w:p w:rsidR="005F6D41" w:rsidRPr="005F6D41" w:rsidRDefault="005F6D41" w:rsidP="005F6D41">
      <w:pPr>
        <w:spacing w:after="0" w:line="288" w:lineRule="auto"/>
        <w:jc w:val="both"/>
        <w:rPr>
          <w:rFonts w:asciiTheme="majorHAnsi" w:hAnsiTheme="majorHAnsi" w:cstheme="majorHAnsi"/>
          <w:color w:val="FF0000"/>
          <w:sz w:val="24"/>
          <w:szCs w:val="24"/>
        </w:rPr>
      </w:pPr>
      <w:r w:rsidRPr="005F6D41">
        <w:rPr>
          <w:rFonts w:asciiTheme="majorHAnsi" w:hAnsiTheme="majorHAnsi" w:cstheme="majorHAnsi"/>
          <w:color w:val="FF0000"/>
          <w:sz w:val="24"/>
          <w:szCs w:val="24"/>
        </w:rPr>
        <w:t>3.2. LOTE 2: Cromatógrafo de gases.</w:t>
      </w:r>
    </w:p>
    <w:p w:rsidR="005F6D41" w:rsidRPr="005F6D41" w:rsidRDefault="005F6D41" w:rsidP="005F6D41">
      <w:pPr>
        <w:spacing w:after="0" w:line="288" w:lineRule="auto"/>
        <w:jc w:val="both"/>
        <w:rPr>
          <w:rFonts w:asciiTheme="majorHAnsi" w:hAnsiTheme="majorHAnsi" w:cstheme="majorHAnsi"/>
          <w:color w:val="FF0000"/>
          <w:sz w:val="24"/>
          <w:szCs w:val="24"/>
        </w:rPr>
      </w:pPr>
    </w:p>
    <w:p w:rsidR="005F6D41" w:rsidRPr="005F6D41" w:rsidRDefault="001D6E7C" w:rsidP="005F6D41">
      <w:pPr>
        <w:spacing w:after="0" w:line="288"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lastRenderedPageBreak/>
        <w:t>Especificar las c</w:t>
      </w:r>
      <w:r w:rsidR="005F6D41" w:rsidRPr="005F6D41">
        <w:rPr>
          <w:rFonts w:asciiTheme="majorHAnsi" w:hAnsiTheme="majorHAnsi" w:cstheme="majorHAnsi"/>
          <w:color w:val="FF0000"/>
          <w:sz w:val="24"/>
          <w:szCs w:val="24"/>
        </w:rPr>
        <w:t>aracterísticas mínimas.</w:t>
      </w:r>
    </w:p>
    <w:p w:rsidR="005F6D41" w:rsidRDefault="005F6D41" w:rsidP="005F6D41">
      <w:pPr>
        <w:spacing w:after="0" w:line="288" w:lineRule="auto"/>
        <w:jc w:val="both"/>
        <w:rPr>
          <w:color w:val="FF0000"/>
          <w:sz w:val="24"/>
          <w:szCs w:val="24"/>
        </w:rPr>
      </w:pPr>
    </w:p>
    <w:p w:rsidR="005F6D41" w:rsidRPr="005F6D41" w:rsidRDefault="005F6D41" w:rsidP="005F6D41">
      <w:pPr>
        <w:spacing w:after="0" w:line="288" w:lineRule="auto"/>
        <w:jc w:val="both"/>
        <w:rPr>
          <w:rFonts w:asciiTheme="majorHAnsi" w:eastAsia="Calibri" w:hAnsiTheme="majorHAnsi" w:cstheme="majorHAnsi"/>
          <w:b/>
          <w:color w:val="17365D" w:themeColor="text2" w:themeShade="BF"/>
          <w:sz w:val="24"/>
          <w:szCs w:val="24"/>
          <w:lang w:val="es-ES_tradnl"/>
        </w:rPr>
      </w:pPr>
      <w:r w:rsidRPr="005F6D41">
        <w:rPr>
          <w:rFonts w:asciiTheme="majorHAnsi" w:eastAsia="Calibri" w:hAnsiTheme="majorHAnsi" w:cstheme="majorHAnsi"/>
          <w:b/>
          <w:color w:val="17365D" w:themeColor="text2" w:themeShade="BF"/>
          <w:sz w:val="24"/>
          <w:szCs w:val="24"/>
          <w:lang w:val="es-ES_tradnl"/>
        </w:rPr>
        <w:t>4. PLAZO DE ENTREGA, INSTALACIÓN Y PUESTA EN FUNCIONAMIENTO DEL EQUIPAMIENTO.</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spacing w:after="0" w:line="288" w:lineRule="auto"/>
        <w:jc w:val="both"/>
        <w:rPr>
          <w:rFonts w:asciiTheme="majorHAnsi" w:hAnsiTheme="majorHAnsi" w:cstheme="majorHAnsi"/>
          <w:color w:val="FF0000"/>
          <w:sz w:val="24"/>
          <w:szCs w:val="24"/>
        </w:rPr>
      </w:pPr>
      <w:r w:rsidRPr="005F6D41">
        <w:rPr>
          <w:rFonts w:asciiTheme="majorHAnsi" w:hAnsiTheme="majorHAnsi" w:cstheme="majorHAnsi"/>
          <w:sz w:val="24"/>
          <w:szCs w:val="24"/>
        </w:rPr>
        <w:t xml:space="preserve">Se establece un plazo de entrega del suministro de </w:t>
      </w:r>
      <w:r w:rsidRPr="005F6D41">
        <w:rPr>
          <w:rFonts w:asciiTheme="majorHAnsi" w:hAnsiTheme="majorHAnsi" w:cstheme="majorHAnsi"/>
          <w:color w:val="FF0000"/>
          <w:sz w:val="24"/>
          <w:szCs w:val="24"/>
        </w:rPr>
        <w:t>indicar el plazo en meses</w:t>
      </w:r>
      <w:r w:rsidRPr="005F6D41">
        <w:rPr>
          <w:rFonts w:asciiTheme="majorHAnsi" w:hAnsiTheme="majorHAnsi" w:cstheme="majorHAnsi"/>
          <w:sz w:val="24"/>
          <w:szCs w:val="24"/>
        </w:rPr>
        <w:t>. Dentro de este plazo se incluye todo el proceso para la puesta en funcionamiento y demás requerimientos contemplados en el presente pliego.</w:t>
      </w:r>
    </w:p>
    <w:p w:rsidR="005F6D41" w:rsidRPr="005F6D41" w:rsidRDefault="005F6D41" w:rsidP="005F6D41">
      <w:pPr>
        <w:spacing w:after="0" w:line="288" w:lineRule="auto"/>
        <w:jc w:val="both"/>
        <w:rPr>
          <w:rFonts w:asciiTheme="majorHAnsi" w:hAnsiTheme="majorHAnsi" w:cstheme="majorHAnsi"/>
          <w:color w:val="FF0000"/>
          <w:sz w:val="24"/>
          <w:szCs w:val="24"/>
        </w:rPr>
      </w:pPr>
    </w:p>
    <w:p w:rsidR="005F6D41" w:rsidRPr="005F6D41" w:rsidRDefault="005F6D41" w:rsidP="005F6D41">
      <w:pPr>
        <w:spacing w:after="0" w:line="288" w:lineRule="auto"/>
        <w:jc w:val="both"/>
        <w:rPr>
          <w:rFonts w:asciiTheme="majorHAnsi" w:hAnsiTheme="majorHAnsi" w:cstheme="majorHAnsi"/>
          <w:color w:val="FF0000"/>
          <w:sz w:val="24"/>
          <w:szCs w:val="24"/>
        </w:rPr>
      </w:pPr>
      <w:r w:rsidRPr="005F6D41">
        <w:rPr>
          <w:rFonts w:asciiTheme="majorHAnsi" w:hAnsiTheme="majorHAnsi" w:cstheme="majorHAnsi"/>
          <w:color w:val="FF0000"/>
          <w:sz w:val="24"/>
          <w:szCs w:val="24"/>
        </w:rPr>
        <w:t>El apartado que se describe a continuación se incluirá en el caso de que el equipamiento que se adquiere precise de un proceso de instalación y puesta en marcha por parte de la empresa adjudicataria del contrato.</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Corresponderá a la empresa adjudicataria realizar todas las tareas necesarias para la instalación del equipamiento y su puesta en funcionamiento, teniendo en cuenta los siguientes requerimientos:</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pStyle w:val="Prrafodelista"/>
        <w:numPr>
          <w:ilvl w:val="0"/>
          <w:numId w:val="6"/>
        </w:num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La ejecución del presente contrato requiere que la empresa adjudicataria realice por su cuenta y a su costa las siguientes actuaciones: transporte, entrega e instalación en dependencias de la Universidad del equipamiento objeto del contrato, así como su puesta marcha y la comprobación del correcto funcionamiento de todos los elementos que componen el suministro.</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pStyle w:val="Prrafodelista"/>
        <w:numPr>
          <w:ilvl w:val="0"/>
          <w:numId w:val="6"/>
        </w:num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Todos los elementos que componen el suministro han de ser nuevos y originales.</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pStyle w:val="Prrafodelista"/>
        <w:numPr>
          <w:ilvl w:val="0"/>
          <w:numId w:val="6"/>
        </w:num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Los medios materiales y humanos, así como la maquinaria necesaria para la instalación, transporte o suministro de los elementos serán responsabilidad de la empresa contratista, no siendo en ningún caso obligación de la Universidad de Jaén facilitar los mismos.</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pStyle w:val="Prrafodelista"/>
        <w:numPr>
          <w:ilvl w:val="0"/>
          <w:numId w:val="6"/>
        </w:num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 xml:space="preserve">La empresa adjudicataria será la responsable de disponer de todos los elementos fungibles y consumibles e instrumentación complementaria que necesite para </w:t>
      </w:r>
      <w:r w:rsidRPr="005F6D41">
        <w:rPr>
          <w:rFonts w:asciiTheme="majorHAnsi" w:hAnsiTheme="majorHAnsi" w:cstheme="majorHAnsi"/>
          <w:sz w:val="24"/>
          <w:szCs w:val="24"/>
        </w:rPr>
        <w:lastRenderedPageBreak/>
        <w:t>realizar en la Universidad de Jaén todas las actividades relacionadas con la instalación, puesta en marcha y comprobación del funcionamiento del equipamiento, así como para proceder a su verificación o calibración en caso de que sea necesario.</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pStyle w:val="Prrafodelista"/>
        <w:numPr>
          <w:ilvl w:val="0"/>
          <w:numId w:val="6"/>
        </w:num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El equipo ofertado debe entregarse totalmente instalado y funcionando correctamente, incluyendo las instalaciones y los accesorios que, sin estar expresamente indicado en las especificaciones técnicas, sean necesarios para su correcto funcionamiento.</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Una vez que se haya dado la conformidad a la instalación y puesta en funcionamiento del equipo y, en el caso de requerirse en este pliego se haya cumplimentado el proceso de formación y capacitación del personal de la Universidad para manejarlo, se procederá a formalizar la correspondiente Acta de Recepción del suministro.</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spacing w:after="0" w:line="288" w:lineRule="auto"/>
        <w:jc w:val="both"/>
        <w:rPr>
          <w:rFonts w:asciiTheme="majorHAnsi" w:eastAsia="Calibri" w:hAnsiTheme="majorHAnsi" w:cstheme="majorHAnsi"/>
          <w:b/>
          <w:color w:val="17365D" w:themeColor="text2" w:themeShade="BF"/>
          <w:sz w:val="24"/>
          <w:szCs w:val="24"/>
          <w:lang w:val="es-ES_tradnl"/>
        </w:rPr>
      </w:pPr>
      <w:r w:rsidRPr="005F6D41">
        <w:rPr>
          <w:rFonts w:asciiTheme="majorHAnsi" w:eastAsia="Calibri" w:hAnsiTheme="majorHAnsi" w:cstheme="majorHAnsi"/>
          <w:b/>
          <w:color w:val="17365D" w:themeColor="text2" w:themeShade="BF"/>
          <w:sz w:val="24"/>
          <w:szCs w:val="24"/>
          <w:lang w:val="es-ES_tradnl"/>
        </w:rPr>
        <w:t>5. GARANTÍA DEL SUMINISTRO.</w:t>
      </w:r>
    </w:p>
    <w:p w:rsidR="005F6D41" w:rsidRPr="005F6D41" w:rsidRDefault="005F6D41" w:rsidP="005F6D41">
      <w:pPr>
        <w:spacing w:after="0" w:line="288" w:lineRule="auto"/>
        <w:jc w:val="both"/>
        <w:rPr>
          <w:rFonts w:asciiTheme="majorHAnsi" w:eastAsia="Calibri" w:hAnsiTheme="majorHAnsi" w:cstheme="majorHAnsi"/>
          <w:b/>
          <w:color w:val="17365D" w:themeColor="text2" w:themeShade="BF"/>
          <w:sz w:val="24"/>
          <w:szCs w:val="24"/>
          <w:lang w:val="es-ES_tradnl"/>
        </w:rPr>
      </w:pPr>
    </w:p>
    <w:p w:rsidR="005F6D41" w:rsidRPr="005F6D41" w:rsidRDefault="005F6D41" w:rsidP="005F6D41">
      <w:p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 xml:space="preserve">Se establece un plazo mínimo de garantía para el equipamiento objeto de este contrato de </w:t>
      </w:r>
      <w:r w:rsidRPr="005F6D41">
        <w:rPr>
          <w:rFonts w:asciiTheme="majorHAnsi" w:hAnsiTheme="majorHAnsi" w:cstheme="majorHAnsi"/>
          <w:color w:val="FF0000"/>
          <w:sz w:val="24"/>
          <w:szCs w:val="24"/>
        </w:rPr>
        <w:t>la Unidad promotora del contrato indicará el número de años de garantía.</w:t>
      </w:r>
    </w:p>
    <w:p w:rsidR="005F6D41" w:rsidRPr="005F6D41" w:rsidRDefault="005F6D41" w:rsidP="005F6D41">
      <w:pPr>
        <w:spacing w:after="0" w:line="288" w:lineRule="auto"/>
        <w:jc w:val="both"/>
        <w:rPr>
          <w:rFonts w:asciiTheme="majorHAnsi" w:hAnsiTheme="majorHAnsi" w:cstheme="majorHAnsi"/>
          <w:color w:val="000000" w:themeColor="text1"/>
          <w:sz w:val="24"/>
          <w:szCs w:val="24"/>
          <w:lang w:val="es-ES_tradnl"/>
        </w:rPr>
      </w:pPr>
    </w:p>
    <w:p w:rsidR="005F6D41" w:rsidRPr="005F6D41" w:rsidRDefault="005F6D41" w:rsidP="005F6D41">
      <w:pPr>
        <w:spacing w:after="0" w:line="288" w:lineRule="auto"/>
        <w:jc w:val="both"/>
        <w:rPr>
          <w:rFonts w:asciiTheme="majorHAnsi" w:hAnsiTheme="majorHAnsi" w:cstheme="majorHAnsi"/>
          <w:color w:val="000000" w:themeColor="text1"/>
          <w:sz w:val="24"/>
          <w:szCs w:val="24"/>
        </w:rPr>
      </w:pPr>
      <w:r w:rsidRPr="005F6D41">
        <w:rPr>
          <w:rFonts w:asciiTheme="majorHAnsi" w:hAnsiTheme="majorHAnsi" w:cstheme="majorHAnsi"/>
          <w:color w:val="000000" w:themeColor="text1"/>
          <w:sz w:val="24"/>
          <w:szCs w:val="24"/>
        </w:rPr>
        <w:t>Durante este periodo de garantía se establecen los siguientes requerimientos que deberá cumplir la empresa contratista:</w:t>
      </w:r>
    </w:p>
    <w:p w:rsidR="005F6D41" w:rsidRPr="005F6D41" w:rsidRDefault="005F6D41" w:rsidP="005F6D41">
      <w:pPr>
        <w:spacing w:after="0" w:line="288" w:lineRule="auto"/>
        <w:jc w:val="both"/>
        <w:rPr>
          <w:rFonts w:asciiTheme="majorHAnsi" w:hAnsiTheme="majorHAnsi" w:cstheme="majorHAnsi"/>
          <w:color w:val="000000" w:themeColor="text1"/>
          <w:sz w:val="24"/>
          <w:szCs w:val="24"/>
        </w:rPr>
      </w:pPr>
    </w:p>
    <w:p w:rsidR="005F6D41" w:rsidRPr="005F6D41" w:rsidRDefault="005F6D41" w:rsidP="005F6D41">
      <w:pPr>
        <w:pStyle w:val="Prrafodelista"/>
        <w:numPr>
          <w:ilvl w:val="0"/>
          <w:numId w:val="7"/>
        </w:numPr>
        <w:spacing w:after="0" w:line="288" w:lineRule="auto"/>
        <w:ind w:left="705" w:hanging="421"/>
        <w:jc w:val="both"/>
        <w:rPr>
          <w:rFonts w:asciiTheme="majorHAnsi" w:hAnsiTheme="majorHAnsi" w:cstheme="majorHAnsi"/>
          <w:color w:val="000000" w:themeColor="text1"/>
          <w:sz w:val="24"/>
          <w:szCs w:val="24"/>
        </w:rPr>
      </w:pPr>
      <w:r w:rsidRPr="005F6D41">
        <w:rPr>
          <w:rFonts w:asciiTheme="majorHAnsi" w:hAnsiTheme="majorHAnsi" w:cstheme="majorHAnsi"/>
          <w:color w:val="000000" w:themeColor="text1"/>
          <w:sz w:val="24"/>
          <w:szCs w:val="24"/>
        </w:rPr>
        <w:t>La empresa adjudicataria se hará cargo de todas las reparaciones que precisen los equipos a lo largo del periodo de garantía. Serán a su cargo conceptos tales como: desplazamientos, salidas de taller, mano de obra, piezas, repuestos, y cualquier coste que pudiera producirse por estos conceptos.</w:t>
      </w:r>
    </w:p>
    <w:p w:rsidR="005F6D41" w:rsidRPr="005F6D41" w:rsidRDefault="005F6D41" w:rsidP="005F6D41">
      <w:pPr>
        <w:spacing w:after="0" w:line="288" w:lineRule="auto"/>
        <w:ind w:hanging="421"/>
        <w:jc w:val="both"/>
        <w:rPr>
          <w:rFonts w:asciiTheme="majorHAnsi" w:hAnsiTheme="majorHAnsi" w:cstheme="majorHAnsi"/>
          <w:color w:val="000000" w:themeColor="text1"/>
          <w:sz w:val="24"/>
          <w:szCs w:val="24"/>
        </w:rPr>
      </w:pPr>
    </w:p>
    <w:p w:rsidR="005F6D41" w:rsidRPr="005F6D41" w:rsidRDefault="005F6D41" w:rsidP="005F6D41">
      <w:pPr>
        <w:pStyle w:val="Prrafodelista"/>
        <w:numPr>
          <w:ilvl w:val="0"/>
          <w:numId w:val="7"/>
        </w:numPr>
        <w:spacing w:after="0" w:line="288" w:lineRule="auto"/>
        <w:ind w:left="705" w:hanging="421"/>
        <w:jc w:val="both"/>
        <w:rPr>
          <w:rFonts w:asciiTheme="majorHAnsi" w:hAnsiTheme="majorHAnsi" w:cstheme="majorHAnsi"/>
          <w:color w:val="000000" w:themeColor="text1"/>
          <w:sz w:val="24"/>
          <w:szCs w:val="24"/>
        </w:rPr>
      </w:pPr>
      <w:r w:rsidRPr="005F6D41">
        <w:rPr>
          <w:rFonts w:asciiTheme="majorHAnsi" w:hAnsiTheme="majorHAnsi" w:cstheme="majorHAnsi"/>
          <w:color w:val="000000" w:themeColor="text1"/>
          <w:sz w:val="24"/>
          <w:szCs w:val="24"/>
        </w:rPr>
        <w:t xml:space="preserve">Durante este periodo, la empresa adjudicataria se compromete a sustituir todos aquellos elementos defectuosos por otros exactamente iguales e instalados que los originales. </w:t>
      </w:r>
    </w:p>
    <w:p w:rsidR="005F6D41" w:rsidRPr="005F6D41" w:rsidRDefault="005F6D41" w:rsidP="005F6D41">
      <w:pPr>
        <w:spacing w:after="0" w:line="288" w:lineRule="auto"/>
        <w:ind w:left="284"/>
        <w:jc w:val="both"/>
        <w:rPr>
          <w:rFonts w:asciiTheme="majorHAnsi" w:hAnsiTheme="majorHAnsi" w:cstheme="majorHAnsi"/>
          <w:color w:val="000000" w:themeColor="text1"/>
          <w:sz w:val="24"/>
          <w:szCs w:val="24"/>
        </w:rPr>
      </w:pPr>
    </w:p>
    <w:p w:rsidR="005F6D41" w:rsidRPr="005F6D41" w:rsidRDefault="005F6D41" w:rsidP="005F6D41">
      <w:pPr>
        <w:pStyle w:val="Prrafodelista"/>
        <w:numPr>
          <w:ilvl w:val="0"/>
          <w:numId w:val="7"/>
        </w:numPr>
        <w:spacing w:after="0" w:line="288" w:lineRule="auto"/>
        <w:ind w:left="705" w:hanging="421"/>
        <w:jc w:val="both"/>
        <w:rPr>
          <w:rFonts w:asciiTheme="majorHAnsi" w:hAnsiTheme="majorHAnsi" w:cstheme="majorHAnsi"/>
          <w:color w:val="000000" w:themeColor="text1"/>
          <w:sz w:val="24"/>
          <w:szCs w:val="24"/>
        </w:rPr>
      </w:pPr>
      <w:r w:rsidRPr="005F6D41">
        <w:rPr>
          <w:rFonts w:asciiTheme="majorHAnsi" w:hAnsiTheme="majorHAnsi" w:cstheme="majorHAnsi"/>
          <w:color w:val="000000" w:themeColor="text1"/>
          <w:sz w:val="24"/>
          <w:szCs w:val="24"/>
        </w:rPr>
        <w:lastRenderedPageBreak/>
        <w:t>En el caso de que el equipo averiado no pueda repararse en las instalaciones de la Universidad y tenga que ser trasladado a las instalaciones de la empresa contratista, serán por su cuenta todos los gastos generados por la retirada, envío y devolución a la Universidad en su ubicación original.</w:t>
      </w:r>
    </w:p>
    <w:p w:rsidR="005F6D41" w:rsidRPr="005F6D41" w:rsidRDefault="005F6D41" w:rsidP="005F6D41">
      <w:pPr>
        <w:spacing w:after="0" w:line="288" w:lineRule="auto"/>
        <w:ind w:hanging="421"/>
        <w:jc w:val="both"/>
        <w:rPr>
          <w:rFonts w:asciiTheme="majorHAnsi" w:hAnsiTheme="majorHAnsi" w:cstheme="majorHAnsi"/>
          <w:color w:val="000000" w:themeColor="text1"/>
          <w:sz w:val="24"/>
          <w:szCs w:val="24"/>
        </w:rPr>
      </w:pPr>
    </w:p>
    <w:p w:rsidR="005F6D41" w:rsidRPr="005F6D41" w:rsidRDefault="005F6D41" w:rsidP="005F6D41">
      <w:pPr>
        <w:spacing w:after="0" w:line="288" w:lineRule="auto"/>
        <w:jc w:val="both"/>
        <w:rPr>
          <w:rFonts w:asciiTheme="majorHAnsi" w:eastAsia="Calibri" w:hAnsiTheme="majorHAnsi" w:cstheme="majorHAnsi"/>
          <w:b/>
          <w:color w:val="17365D" w:themeColor="text2" w:themeShade="BF"/>
          <w:sz w:val="24"/>
          <w:szCs w:val="24"/>
          <w:lang w:val="es-ES_tradnl"/>
        </w:rPr>
      </w:pPr>
      <w:r w:rsidRPr="005F6D41">
        <w:rPr>
          <w:rFonts w:asciiTheme="majorHAnsi" w:eastAsia="Calibri" w:hAnsiTheme="majorHAnsi" w:cstheme="majorHAnsi"/>
          <w:b/>
          <w:color w:val="17365D" w:themeColor="text2" w:themeShade="BF"/>
          <w:sz w:val="24"/>
          <w:szCs w:val="24"/>
          <w:lang w:val="es-ES_tradnl"/>
        </w:rPr>
        <w:t>6. CONDICIONES ESPECIALES DE EJECUCIÓN DE CONTRATO.</w:t>
      </w:r>
    </w:p>
    <w:p w:rsidR="005F6D41" w:rsidRPr="005F6D41" w:rsidRDefault="005F6D41" w:rsidP="005F6D41">
      <w:pPr>
        <w:spacing w:after="0" w:line="288" w:lineRule="auto"/>
        <w:jc w:val="both"/>
        <w:rPr>
          <w:rFonts w:asciiTheme="majorHAnsi" w:eastAsia="Calibri" w:hAnsiTheme="majorHAnsi" w:cstheme="majorHAnsi"/>
          <w:b/>
          <w:color w:val="17365D" w:themeColor="text2" w:themeShade="BF"/>
          <w:sz w:val="24"/>
          <w:szCs w:val="24"/>
          <w:lang w:val="es-ES_tradnl"/>
        </w:rPr>
      </w:pPr>
    </w:p>
    <w:p w:rsidR="005F6D41" w:rsidRPr="005F6D41" w:rsidRDefault="005F6D41" w:rsidP="005F6D41">
      <w:pPr>
        <w:spacing w:after="0" w:line="288" w:lineRule="auto"/>
        <w:jc w:val="both"/>
        <w:rPr>
          <w:rFonts w:asciiTheme="majorHAnsi" w:eastAsia="Calibri" w:hAnsiTheme="majorHAnsi" w:cstheme="majorHAnsi"/>
          <w:sz w:val="24"/>
          <w:szCs w:val="24"/>
          <w:lang w:val="es-ES_tradnl"/>
        </w:rPr>
      </w:pPr>
      <w:r w:rsidRPr="005F6D41">
        <w:rPr>
          <w:rFonts w:asciiTheme="majorHAnsi" w:eastAsia="Calibri" w:hAnsiTheme="majorHAnsi" w:cstheme="majorHAnsi"/>
          <w:sz w:val="24"/>
          <w:szCs w:val="24"/>
          <w:lang w:val="es-ES_tradnl"/>
        </w:rPr>
        <w:t>La empresa contratista deberá adoptar las medidas necesarias para realizar la ejecución de este contrato de forma sostenible y cumplir determinadas acciones dirigidas a la protección medioambiental y social. En este sentido, se considerarán condiciones especiales de ejecución del contrato las siguientes:</w:t>
      </w:r>
    </w:p>
    <w:p w:rsidR="005F6D41" w:rsidRPr="005F6D41" w:rsidRDefault="005F6D41" w:rsidP="005F6D41">
      <w:pPr>
        <w:spacing w:after="0" w:line="288" w:lineRule="auto"/>
        <w:jc w:val="both"/>
        <w:rPr>
          <w:rFonts w:asciiTheme="majorHAnsi" w:eastAsia="Calibri" w:hAnsiTheme="majorHAnsi" w:cstheme="majorHAnsi"/>
          <w:sz w:val="24"/>
          <w:szCs w:val="24"/>
          <w:lang w:val="es-ES_tradnl"/>
        </w:rPr>
      </w:pPr>
    </w:p>
    <w:p w:rsidR="005F6D41" w:rsidRPr="005F6D41" w:rsidRDefault="005F6D41" w:rsidP="005F6D41">
      <w:pPr>
        <w:pStyle w:val="Prrafodelista"/>
        <w:numPr>
          <w:ilvl w:val="0"/>
          <w:numId w:val="5"/>
        </w:numPr>
        <w:spacing w:after="0" w:line="288" w:lineRule="auto"/>
        <w:jc w:val="both"/>
        <w:rPr>
          <w:rFonts w:asciiTheme="majorHAnsi" w:eastAsia="Calibri" w:hAnsiTheme="majorHAnsi" w:cstheme="majorHAnsi"/>
          <w:sz w:val="24"/>
          <w:szCs w:val="24"/>
          <w:lang w:val="es-ES_tradnl"/>
        </w:rPr>
      </w:pPr>
      <w:r w:rsidRPr="005F6D41">
        <w:rPr>
          <w:rFonts w:asciiTheme="majorHAnsi" w:eastAsia="Calibri" w:hAnsiTheme="majorHAnsi" w:cstheme="majorHAnsi"/>
          <w:sz w:val="24"/>
          <w:szCs w:val="24"/>
          <w:lang w:val="es-ES_tradnl"/>
        </w:rPr>
        <w:t>Limpieza y retirada final de envases, embalajes, basuras y todo tipo de residuos generados en la zona de trabajo. La empresa contratista se hará cargo de sus residuos y envases, gestionando su retirada a través de gestor autorizado y, si es posible, procurando su reciclaje.</w:t>
      </w:r>
    </w:p>
    <w:p w:rsidR="005F6D41" w:rsidRPr="005F6D41" w:rsidRDefault="005F6D41" w:rsidP="005F6D41">
      <w:pPr>
        <w:spacing w:after="0" w:line="288" w:lineRule="auto"/>
        <w:jc w:val="both"/>
        <w:rPr>
          <w:rFonts w:asciiTheme="majorHAnsi" w:eastAsia="Calibri" w:hAnsiTheme="majorHAnsi" w:cstheme="majorHAnsi"/>
          <w:sz w:val="24"/>
          <w:szCs w:val="24"/>
          <w:lang w:val="es-ES_tradnl"/>
        </w:rPr>
      </w:pPr>
    </w:p>
    <w:p w:rsidR="005F6D41" w:rsidRPr="005F6D41" w:rsidRDefault="005F6D41" w:rsidP="005F6D41">
      <w:pPr>
        <w:pStyle w:val="Prrafodelista"/>
        <w:numPr>
          <w:ilvl w:val="0"/>
          <w:numId w:val="5"/>
        </w:numPr>
        <w:spacing w:after="0" w:line="288" w:lineRule="auto"/>
        <w:jc w:val="both"/>
        <w:rPr>
          <w:rFonts w:asciiTheme="majorHAnsi" w:eastAsia="Calibri" w:hAnsiTheme="majorHAnsi" w:cstheme="majorHAnsi"/>
          <w:sz w:val="24"/>
          <w:szCs w:val="24"/>
          <w:lang w:val="es-ES_tradnl"/>
        </w:rPr>
      </w:pPr>
      <w:r w:rsidRPr="005F6D41">
        <w:rPr>
          <w:rFonts w:asciiTheme="majorHAnsi" w:eastAsia="Calibri" w:hAnsiTheme="majorHAnsi" w:cstheme="majorHAnsi"/>
          <w:sz w:val="24"/>
          <w:szCs w:val="24"/>
          <w:lang w:val="es-ES_tradnl"/>
        </w:rPr>
        <w:t>Igualmente, la empresa contratista se comprometerá en todo momento a minimizar las molestias sobre su entorno, como generación de ruido, emisión de polvo, olores, etc., para lo cual aportará los medios necesarios para ello.</w:t>
      </w:r>
    </w:p>
    <w:p w:rsidR="005F6D41" w:rsidRPr="005F6D41" w:rsidRDefault="005F6D41" w:rsidP="005F6D41">
      <w:pPr>
        <w:spacing w:after="0" w:line="288" w:lineRule="auto"/>
        <w:ind w:left="360"/>
        <w:jc w:val="both"/>
        <w:rPr>
          <w:rFonts w:asciiTheme="majorHAnsi" w:eastAsia="Calibri" w:hAnsiTheme="majorHAnsi" w:cstheme="majorHAnsi"/>
          <w:sz w:val="24"/>
          <w:szCs w:val="24"/>
          <w:lang w:val="es-ES_tradnl"/>
        </w:rPr>
      </w:pPr>
    </w:p>
    <w:p w:rsidR="005F6D41" w:rsidRPr="005F6D41" w:rsidRDefault="005F6D41" w:rsidP="005F6D41">
      <w:pPr>
        <w:pStyle w:val="Prrafodelista"/>
        <w:numPr>
          <w:ilvl w:val="0"/>
          <w:numId w:val="5"/>
        </w:numPr>
        <w:spacing w:after="0" w:line="288" w:lineRule="auto"/>
        <w:ind w:right="113"/>
        <w:jc w:val="both"/>
        <w:rPr>
          <w:rFonts w:asciiTheme="majorHAnsi" w:hAnsiTheme="majorHAnsi" w:cstheme="majorHAnsi"/>
          <w:sz w:val="24"/>
          <w:szCs w:val="24"/>
        </w:rPr>
      </w:pPr>
      <w:r w:rsidRPr="005F6D41">
        <w:rPr>
          <w:rFonts w:asciiTheme="majorHAnsi" w:hAnsiTheme="majorHAnsi" w:cstheme="majorHAnsi"/>
          <w:sz w:val="24"/>
          <w:szCs w:val="24"/>
        </w:rPr>
        <w:t>Garantizar el respeto a los derechos laborales básicos a lo largo de la cadena de producción mediante la exigencia del cumplimiento de las Convenciones fundamentales de la Organización Internacional del Trabajo y, en concreto, acreditar transparencia y trazabilidad de toda la cadena comercial respecto a los productos y empresas proveedoras.</w:t>
      </w:r>
    </w:p>
    <w:p w:rsidR="005F6D41" w:rsidRPr="005F6D41" w:rsidRDefault="005F6D41" w:rsidP="005F6D41">
      <w:pPr>
        <w:spacing w:after="0" w:line="288" w:lineRule="auto"/>
        <w:jc w:val="both"/>
        <w:rPr>
          <w:rFonts w:asciiTheme="majorHAnsi" w:eastAsia="Calibri" w:hAnsiTheme="majorHAnsi" w:cstheme="majorHAnsi"/>
          <w:b/>
          <w:color w:val="17365D" w:themeColor="text2" w:themeShade="BF"/>
          <w:sz w:val="24"/>
          <w:szCs w:val="24"/>
          <w:lang w:val="es-ES_tradnl"/>
        </w:rPr>
      </w:pPr>
    </w:p>
    <w:p w:rsidR="005F6D41" w:rsidRPr="005F6D41" w:rsidRDefault="005F6D41" w:rsidP="005F6D41">
      <w:pPr>
        <w:spacing w:after="0" w:line="288" w:lineRule="auto"/>
        <w:jc w:val="both"/>
        <w:rPr>
          <w:rFonts w:asciiTheme="majorHAnsi" w:eastAsia="Calibri" w:hAnsiTheme="majorHAnsi" w:cstheme="majorHAnsi"/>
          <w:b/>
          <w:color w:val="17365D" w:themeColor="text2" w:themeShade="BF"/>
          <w:sz w:val="24"/>
          <w:szCs w:val="24"/>
          <w:lang w:val="es-ES_tradnl"/>
        </w:rPr>
      </w:pPr>
      <w:r w:rsidRPr="005F6D41">
        <w:rPr>
          <w:rFonts w:asciiTheme="majorHAnsi" w:eastAsia="Calibri" w:hAnsiTheme="majorHAnsi" w:cstheme="majorHAnsi"/>
          <w:b/>
          <w:color w:val="17365D" w:themeColor="text2" w:themeShade="BF"/>
          <w:sz w:val="24"/>
          <w:szCs w:val="24"/>
          <w:lang w:val="es-ES_tradnl"/>
        </w:rPr>
        <w:t>7. COORDINACIÓN DE ACTIVIDADES EMPRESARIALES.</w:t>
      </w:r>
    </w:p>
    <w:p w:rsidR="005F6D41" w:rsidRPr="005F6D41" w:rsidRDefault="005F6D41" w:rsidP="005F6D41">
      <w:pPr>
        <w:spacing w:after="0" w:line="288" w:lineRule="auto"/>
        <w:jc w:val="both"/>
        <w:rPr>
          <w:rFonts w:asciiTheme="majorHAnsi" w:eastAsia="Calibri" w:hAnsiTheme="majorHAnsi" w:cstheme="majorHAnsi"/>
          <w:color w:val="17365D" w:themeColor="text2" w:themeShade="BF"/>
          <w:sz w:val="24"/>
          <w:szCs w:val="24"/>
          <w:lang w:val="es-ES_tradnl"/>
        </w:rPr>
      </w:pPr>
    </w:p>
    <w:p w:rsidR="005F6D41" w:rsidRPr="005F6D41" w:rsidRDefault="005F6D41" w:rsidP="005F6D41">
      <w:p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 xml:space="preserve">En los contratos de suministros cuya instalación requiera la presencia de trabajadores y trabajadoras de empresas contratistas en las instalaciones de la Universidad, éstas estarán obligadas al cumplimiento de lo establecido en la normativa vigente en materia </w:t>
      </w:r>
      <w:r w:rsidRPr="005F6D41">
        <w:rPr>
          <w:rFonts w:asciiTheme="majorHAnsi" w:hAnsiTheme="majorHAnsi" w:cstheme="majorHAnsi"/>
          <w:sz w:val="24"/>
          <w:szCs w:val="24"/>
        </w:rPr>
        <w:lastRenderedPageBreak/>
        <w:t>de coordinación de actividades empresariales establecida en la Ley de Prevención de Riesgos Laborales.</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La Universidad tiene establecido un procedimiento con objeto de dar cumplimiento al Real Decreto 171/2004 en materia de coordinación de actividades empresariales. Los objetivos de la coordinación son los que se establecen a continuación:</w:t>
      </w:r>
    </w:p>
    <w:p w:rsidR="005F6D41" w:rsidRPr="005F6D41" w:rsidRDefault="005F6D41" w:rsidP="005F6D41">
      <w:pPr>
        <w:jc w:val="center"/>
        <w:rPr>
          <w:rFonts w:asciiTheme="majorHAnsi" w:hAnsiTheme="majorHAnsi" w:cstheme="majorHAnsi"/>
          <w:sz w:val="24"/>
          <w:szCs w:val="24"/>
        </w:rPr>
      </w:pPr>
    </w:p>
    <w:p w:rsidR="005F6D41" w:rsidRPr="005F6D41" w:rsidRDefault="005F6D41" w:rsidP="005F6D41">
      <w:pPr>
        <w:pStyle w:val="Prrafodelista"/>
        <w:numPr>
          <w:ilvl w:val="0"/>
          <w:numId w:val="8"/>
        </w:num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La aplicación coherente y responsable de los principios de la acción preventiva establecidos en la Ley de Prevención de Riesgos Laborales, por las empresas concurrentes en el centro de trabajo.</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pStyle w:val="Prrafodelista"/>
        <w:numPr>
          <w:ilvl w:val="0"/>
          <w:numId w:val="8"/>
        </w:num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La aplicación correcta de los métodos de trabajo por las empresas concurrentes.</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pStyle w:val="Prrafodelista"/>
        <w:numPr>
          <w:ilvl w:val="0"/>
          <w:numId w:val="8"/>
        </w:num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El control de las interacciones de las diferentes actividades desarrolladas en el centro de trabajo, en particular cuando puedan generar riesgos calificados como graves o muy graves, o cuando se desarrollen en el centro de trabajo actividades incompatibles entre sí por su incidencia en la seguridad y la salud de los trabajadores y trabajadoras.</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spacing w:after="0" w:line="288" w:lineRule="auto"/>
        <w:jc w:val="both"/>
        <w:rPr>
          <w:rFonts w:asciiTheme="majorHAnsi" w:hAnsiTheme="majorHAnsi" w:cstheme="majorHAnsi"/>
          <w:sz w:val="24"/>
          <w:szCs w:val="24"/>
        </w:rPr>
      </w:pPr>
      <w:r w:rsidRPr="005F6D41">
        <w:rPr>
          <w:rFonts w:asciiTheme="majorHAnsi" w:hAnsiTheme="majorHAnsi" w:cstheme="majorHAnsi"/>
          <w:sz w:val="24"/>
          <w:szCs w:val="24"/>
        </w:rPr>
        <w:t>A estos efectos, las empresas licitadoras deberán cumplimentar y presentar en el sobre número 1 la declaración de cumplimiento de la normativa de prevención de riesgos laborales según el modelo establecido en el pliego de cláusulas administrativas particulares. El incumplimiento de lo estipulado en esta cláusula podrá considerarse como causa de resolución del contrato.</w:t>
      </w:r>
    </w:p>
    <w:p w:rsidR="005F6D41" w:rsidRPr="005F6D41" w:rsidRDefault="005F6D41" w:rsidP="005F6D41">
      <w:pPr>
        <w:spacing w:after="0" w:line="288" w:lineRule="auto"/>
        <w:jc w:val="both"/>
        <w:rPr>
          <w:rFonts w:asciiTheme="majorHAnsi" w:hAnsiTheme="majorHAnsi" w:cstheme="majorHAnsi"/>
          <w:sz w:val="24"/>
          <w:szCs w:val="24"/>
        </w:rPr>
      </w:pPr>
    </w:p>
    <w:p w:rsidR="005F6D41" w:rsidRPr="005F6D41" w:rsidRDefault="005F6D41" w:rsidP="005F6D41">
      <w:pPr>
        <w:rPr>
          <w:rFonts w:asciiTheme="majorHAnsi" w:hAnsiTheme="majorHAnsi" w:cstheme="majorHAnsi"/>
          <w:color w:val="000000" w:themeColor="text1"/>
          <w:sz w:val="24"/>
          <w:szCs w:val="24"/>
        </w:rPr>
      </w:pPr>
    </w:p>
    <w:p w:rsidR="00797030" w:rsidRPr="005F6D41" w:rsidRDefault="00797030">
      <w:pPr>
        <w:spacing w:after="0" w:line="288" w:lineRule="auto"/>
        <w:jc w:val="both"/>
        <w:rPr>
          <w:rFonts w:asciiTheme="majorHAnsi" w:eastAsia="Calibri" w:hAnsiTheme="majorHAnsi" w:cstheme="majorHAnsi"/>
          <w:b/>
          <w:color w:val="17365D"/>
          <w:sz w:val="24"/>
          <w:szCs w:val="24"/>
        </w:rPr>
      </w:pPr>
    </w:p>
    <w:sectPr w:rsidR="00797030" w:rsidRPr="005F6D41">
      <w:headerReference w:type="default" r:id="rId9"/>
      <w:footerReference w:type="default" r:id="rId10"/>
      <w:pgSz w:w="11900" w:h="16840"/>
      <w:pgMar w:top="1417" w:right="1701" w:bottom="1417" w:left="1701" w:header="1134"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D8F" w:rsidRDefault="00766D8F">
      <w:pPr>
        <w:spacing w:after="0" w:line="240" w:lineRule="auto"/>
      </w:pPr>
      <w:r>
        <w:separator/>
      </w:r>
    </w:p>
  </w:endnote>
  <w:endnote w:type="continuationSeparator" w:id="0">
    <w:p w:rsidR="00766D8F" w:rsidRDefault="0076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24" w:rsidRDefault="005041FA">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C2215">
      <w:rPr>
        <w:noProof/>
        <w:color w:val="000000"/>
      </w:rPr>
      <w:t>2</w:t>
    </w:r>
    <w:r>
      <w:rPr>
        <w:color w:val="000000"/>
      </w:rPr>
      <w:fldChar w:fldCharType="end"/>
    </w:r>
  </w:p>
  <w:p w:rsidR="00EE7C24" w:rsidRDefault="00EE7C2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D8F" w:rsidRDefault="00766D8F">
      <w:pPr>
        <w:spacing w:after="0" w:line="240" w:lineRule="auto"/>
      </w:pPr>
      <w:r>
        <w:separator/>
      </w:r>
    </w:p>
  </w:footnote>
  <w:footnote w:type="continuationSeparator" w:id="0">
    <w:p w:rsidR="00766D8F" w:rsidRDefault="0076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24" w:rsidRDefault="00EE7C24"/>
  <w:tbl>
    <w:tblPr>
      <w:tblStyle w:val="a1"/>
      <w:tblpPr w:leftFromText="141" w:rightFromText="141" w:vertAnchor="text"/>
      <w:tblW w:w="850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477"/>
      <w:gridCol w:w="6023"/>
    </w:tblGrid>
    <w:tr w:rsidR="00EE7C24" w:rsidTr="0069193B">
      <w:trPr>
        <w:trHeight w:val="1304"/>
      </w:trPr>
      <w:tc>
        <w:tcPr>
          <w:tcW w:w="2477" w:type="dxa"/>
          <w:vAlign w:val="center"/>
        </w:tcPr>
        <w:p w:rsidR="00EE7C24" w:rsidRDefault="00311452" w:rsidP="0069193B">
          <w:pPr>
            <w:spacing w:after="0" w:line="288" w:lineRule="auto"/>
            <w:ind w:left="-113" w:right="-186"/>
            <w:jc w:val="center"/>
            <w:rPr>
              <w:rFonts w:ascii="Calibri" w:eastAsia="Calibri" w:hAnsi="Calibri" w:cs="Calibri"/>
              <w:b/>
              <w:sz w:val="24"/>
              <w:szCs w:val="24"/>
            </w:rPr>
          </w:pPr>
          <w:r>
            <w:rPr>
              <w:rFonts w:ascii="Calibri" w:eastAsia="Calibri" w:hAnsi="Calibri" w:cs="Calibri"/>
              <w:b/>
              <w:noProof/>
              <w:sz w:val="24"/>
              <w:szCs w:val="24"/>
            </w:rPr>
            <w:drawing>
              <wp:inline distT="0" distB="0" distL="0" distR="0">
                <wp:extent cx="842838" cy="908479"/>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PA.jpg"/>
                        <pic:cNvPicPr/>
                      </pic:nvPicPr>
                      <pic:blipFill>
                        <a:blip r:embed="rId1">
                          <a:extLst>
                            <a:ext uri="{28A0092B-C50C-407E-A947-70E740481C1C}">
                              <a14:useLocalDpi xmlns:a14="http://schemas.microsoft.com/office/drawing/2010/main" val="0"/>
                            </a:ext>
                          </a:extLst>
                        </a:blip>
                        <a:stretch>
                          <a:fillRect/>
                        </a:stretch>
                      </pic:blipFill>
                      <pic:spPr>
                        <a:xfrm>
                          <a:off x="0" y="0"/>
                          <a:ext cx="872733" cy="940702"/>
                        </a:xfrm>
                        <a:prstGeom prst="rect">
                          <a:avLst/>
                        </a:prstGeom>
                      </pic:spPr>
                    </pic:pic>
                  </a:graphicData>
                </a:graphic>
              </wp:inline>
            </w:drawing>
          </w:r>
        </w:p>
      </w:tc>
      <w:tc>
        <w:tcPr>
          <w:tcW w:w="6023" w:type="dxa"/>
          <w:vAlign w:val="center"/>
        </w:tcPr>
        <w:p w:rsidR="00EE7C24" w:rsidRPr="00420BAA" w:rsidRDefault="00420BAA" w:rsidP="0069193B">
          <w:pPr>
            <w:spacing w:after="0" w:line="240" w:lineRule="auto"/>
            <w:ind w:left="176" w:right="113"/>
            <w:rPr>
              <w:rFonts w:ascii="Calibri" w:eastAsia="Calibri" w:hAnsi="Calibri" w:cs="Calibri"/>
              <w:sz w:val="20"/>
              <w:szCs w:val="20"/>
            </w:rPr>
          </w:pPr>
          <w:r w:rsidRPr="00420BAA">
            <w:rPr>
              <w:rFonts w:ascii="Calibri" w:eastAsia="Calibri" w:hAnsi="Calibri" w:cs="Calibri"/>
              <w:sz w:val="20"/>
              <w:szCs w:val="20"/>
            </w:rPr>
            <w:t>Servicio de Contratación y Patrimonio</w:t>
          </w:r>
        </w:p>
        <w:p w:rsidR="00EE7C24" w:rsidRDefault="00311452" w:rsidP="0069193B">
          <w:pPr>
            <w:spacing w:after="0" w:line="240" w:lineRule="auto"/>
            <w:ind w:left="176" w:right="113"/>
            <w:rPr>
              <w:rFonts w:ascii="Calibri" w:eastAsia="Calibri" w:hAnsi="Calibri" w:cs="Calibri"/>
              <w:color w:val="44546A"/>
              <w:sz w:val="24"/>
              <w:szCs w:val="24"/>
            </w:rPr>
          </w:pPr>
          <w:r w:rsidRPr="00420BAA">
            <w:rPr>
              <w:rFonts w:asciiTheme="majorHAnsi" w:hAnsiTheme="majorHAnsi" w:cstheme="majorHAnsi"/>
              <w:sz w:val="20"/>
              <w:szCs w:val="20"/>
            </w:rPr>
            <w:t>Pliego de Prescripciones Técnicas</w:t>
          </w:r>
          <w:r w:rsidR="00420BAA">
            <w:rPr>
              <w:rFonts w:asciiTheme="majorHAnsi" w:hAnsiTheme="majorHAnsi" w:cstheme="majorHAnsi"/>
              <w:sz w:val="20"/>
              <w:szCs w:val="20"/>
            </w:rPr>
            <w:t xml:space="preserve"> –</w:t>
          </w:r>
          <w:r w:rsidR="00420BAA" w:rsidRPr="00420BAA">
            <w:rPr>
              <w:rFonts w:asciiTheme="majorHAnsi" w:hAnsiTheme="majorHAnsi" w:cstheme="majorHAnsi"/>
              <w:sz w:val="20"/>
              <w:szCs w:val="20"/>
            </w:rPr>
            <w:t xml:space="preserve"> </w:t>
          </w:r>
          <w:r w:rsidRPr="00420BAA">
            <w:rPr>
              <w:rFonts w:asciiTheme="majorHAnsi" w:hAnsiTheme="majorHAnsi" w:cstheme="majorHAnsi"/>
              <w:sz w:val="20"/>
              <w:szCs w:val="20"/>
            </w:rPr>
            <w:t>Expediente</w:t>
          </w:r>
          <w:r w:rsidR="00420BAA">
            <w:rPr>
              <w:rFonts w:asciiTheme="majorHAnsi" w:hAnsiTheme="majorHAnsi" w:cstheme="majorHAnsi"/>
              <w:sz w:val="20"/>
              <w:szCs w:val="20"/>
            </w:rPr>
            <w:t>:</w:t>
          </w:r>
          <w:r w:rsidRPr="00420BAA">
            <w:rPr>
              <w:rFonts w:asciiTheme="majorHAnsi" w:hAnsiTheme="majorHAnsi" w:cstheme="majorHAnsi"/>
              <w:sz w:val="20"/>
              <w:szCs w:val="20"/>
            </w:rPr>
            <w:t xml:space="preserve"> 202</w:t>
          </w:r>
          <w:r w:rsidR="00015AF1">
            <w:rPr>
              <w:rFonts w:asciiTheme="majorHAnsi" w:hAnsiTheme="majorHAnsi" w:cstheme="majorHAnsi"/>
              <w:sz w:val="20"/>
              <w:szCs w:val="20"/>
            </w:rPr>
            <w:t>5/</w:t>
          </w:r>
        </w:p>
      </w:tc>
    </w:tr>
  </w:tbl>
  <w:p w:rsidR="00EE7C24" w:rsidRDefault="00EE7C24">
    <w:pPr>
      <w:pBdr>
        <w:top w:val="nil"/>
        <w:left w:val="nil"/>
        <w:bottom w:val="nil"/>
        <w:right w:val="nil"/>
        <w:between w:val="nil"/>
      </w:pBdr>
      <w:tabs>
        <w:tab w:val="center" w:pos="4252"/>
        <w:tab w:val="right" w:pos="8504"/>
      </w:tabs>
      <w:spacing w:after="0" w:line="240" w:lineRule="auto"/>
      <w:rPr>
        <w:color w:val="000000"/>
      </w:rPr>
    </w:pPr>
  </w:p>
  <w:p w:rsidR="00420BAA" w:rsidRDefault="00420BAA">
    <w:pPr>
      <w:pBdr>
        <w:top w:val="nil"/>
        <w:left w:val="nil"/>
        <w:bottom w:val="nil"/>
        <w:right w:val="nil"/>
        <w:between w:val="nil"/>
      </w:pBdr>
      <w:tabs>
        <w:tab w:val="center" w:pos="4252"/>
        <w:tab w:val="right" w:pos="8504"/>
      </w:tabs>
      <w:spacing w:after="0" w:line="240" w:lineRule="auto"/>
      <w:rPr>
        <w:color w:val="000000"/>
      </w:rPr>
    </w:pPr>
  </w:p>
  <w:p w:rsidR="0069193B" w:rsidRDefault="0069193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5549"/>
    <w:multiLevelType w:val="hybridMultilevel"/>
    <w:tmpl w:val="19E24B92"/>
    <w:lvl w:ilvl="0" w:tplc="63F045F8">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3B7B3C"/>
    <w:multiLevelType w:val="multilevel"/>
    <w:tmpl w:val="E0D85AD4"/>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B12350"/>
    <w:multiLevelType w:val="hybridMultilevel"/>
    <w:tmpl w:val="BD3E778C"/>
    <w:lvl w:ilvl="0" w:tplc="F1828FDE">
      <w:start w:val="1"/>
      <w:numFmt w:val="bullet"/>
      <w:lvlText w:val="-"/>
      <w:lvlJc w:val="left"/>
      <w:pPr>
        <w:ind w:left="1413" w:hanging="705"/>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CB60AE"/>
    <w:multiLevelType w:val="hybridMultilevel"/>
    <w:tmpl w:val="74F8CB66"/>
    <w:lvl w:ilvl="0" w:tplc="F1828FDE">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4F0033"/>
    <w:multiLevelType w:val="hybridMultilevel"/>
    <w:tmpl w:val="B47817C2"/>
    <w:lvl w:ilvl="0" w:tplc="F1828FDE">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CD5355"/>
    <w:multiLevelType w:val="multilevel"/>
    <w:tmpl w:val="73F87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D145CE"/>
    <w:multiLevelType w:val="multilevel"/>
    <w:tmpl w:val="633A208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DC40B7"/>
    <w:multiLevelType w:val="multilevel"/>
    <w:tmpl w:val="F1583CDE"/>
    <w:lvl w:ilvl="0">
      <w:start w:val="1"/>
      <w:numFmt w:val="bullet"/>
      <w:lvlText w:val="-"/>
      <w:lvlJc w:val="left"/>
      <w:pPr>
        <w:ind w:left="1068" w:hanging="360"/>
      </w:pPr>
      <w:rPr>
        <w:rFonts w:ascii="Sitka Small" w:eastAsia="Sitka Small" w:hAnsi="Sitka Small" w:cs="Sitka Smal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4"/>
    <w:rsid w:val="00015AF1"/>
    <w:rsid w:val="00017173"/>
    <w:rsid w:val="00082555"/>
    <w:rsid w:val="000C2215"/>
    <w:rsid w:val="000F6ACC"/>
    <w:rsid w:val="00137CBB"/>
    <w:rsid w:val="00141C70"/>
    <w:rsid w:val="00196D23"/>
    <w:rsid w:val="001D6E7C"/>
    <w:rsid w:val="001E2A29"/>
    <w:rsid w:val="002C4050"/>
    <w:rsid w:val="00301E18"/>
    <w:rsid w:val="00311452"/>
    <w:rsid w:val="0036301F"/>
    <w:rsid w:val="00420BAA"/>
    <w:rsid w:val="004635BE"/>
    <w:rsid w:val="005041FA"/>
    <w:rsid w:val="00514FB2"/>
    <w:rsid w:val="005472C3"/>
    <w:rsid w:val="005F6D41"/>
    <w:rsid w:val="006044CA"/>
    <w:rsid w:val="00656A1A"/>
    <w:rsid w:val="00677ED8"/>
    <w:rsid w:val="0069193B"/>
    <w:rsid w:val="006B0479"/>
    <w:rsid w:val="00730A8C"/>
    <w:rsid w:val="00766D8F"/>
    <w:rsid w:val="007732A5"/>
    <w:rsid w:val="00797030"/>
    <w:rsid w:val="007B6FEC"/>
    <w:rsid w:val="00801E4A"/>
    <w:rsid w:val="008D4754"/>
    <w:rsid w:val="008D7CB2"/>
    <w:rsid w:val="00901C97"/>
    <w:rsid w:val="00A84B25"/>
    <w:rsid w:val="00B70BE4"/>
    <w:rsid w:val="00B964DE"/>
    <w:rsid w:val="00BC5057"/>
    <w:rsid w:val="00BE451D"/>
    <w:rsid w:val="00BF4A89"/>
    <w:rsid w:val="00C04C00"/>
    <w:rsid w:val="00C31215"/>
    <w:rsid w:val="00CF3F85"/>
    <w:rsid w:val="00D37E30"/>
    <w:rsid w:val="00D45D5A"/>
    <w:rsid w:val="00D51408"/>
    <w:rsid w:val="00DD57B5"/>
    <w:rsid w:val="00E13260"/>
    <w:rsid w:val="00EE097A"/>
    <w:rsid w:val="00EE7C24"/>
    <w:rsid w:val="00F032D9"/>
    <w:rsid w:val="00F517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3696"/>
  <w15:docId w15:val="{724148A4-C7DA-4F93-A9E7-DA532139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jc w:val="center"/>
      <w:outlineLvl w:val="0"/>
    </w:pPr>
    <w:rPr>
      <w:rFonts w:ascii="Garamond" w:eastAsia="Garamond" w:hAnsi="Garamond" w:cs="Garamond"/>
      <w:b/>
      <w:sz w:val="24"/>
      <w:szCs w:val="24"/>
      <w:u w:val="single"/>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31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14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1452"/>
  </w:style>
  <w:style w:type="paragraph" w:styleId="Piedepgina">
    <w:name w:val="footer"/>
    <w:basedOn w:val="Normal"/>
    <w:link w:val="PiedepginaCar"/>
    <w:uiPriority w:val="99"/>
    <w:unhideWhenUsed/>
    <w:rsid w:val="003114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1452"/>
  </w:style>
  <w:style w:type="paragraph" w:styleId="Prrafodelista">
    <w:name w:val="List Paragraph"/>
    <w:basedOn w:val="Normal"/>
    <w:uiPriority w:val="34"/>
    <w:qFormat/>
    <w:rsid w:val="005F6D41"/>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NwaDABFFWTVxw82eoF7meZD7w==">CgMxLjAyDmguYnBsdGRucjN0Z3I5Mg5oLmdhZGxvejcyemZqYTIIaC5namRneHMyDmguOGxvOHg5eDhkeng5Mg5oLmo1eXVnYWh6d2JsbzIOaC42MDQ2b2g3bWZlcHAyDmgucGFhcDIyMjg1cjlsMg5oLnNoenU2eThvNXVibzIOaC5sc3VjMm5hd3NxNnUyDmgucHM1NTd6Y245bmtmMgloLjMwajB6bGwyCWguMzBqMHpsbDIJaC4zMGowemxsMgloLjFmb2I5dGU4AHIhMTVnRnU1UGJ6Q2NSRW5iSldkM0dsTnpaWkE3cFZuLW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1275</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UJA</dc:creator>
  <cp:lastModifiedBy>UJA</cp:lastModifiedBy>
  <cp:revision>12</cp:revision>
  <dcterms:created xsi:type="dcterms:W3CDTF">2024-02-02T09:20:00Z</dcterms:created>
  <dcterms:modified xsi:type="dcterms:W3CDTF">2025-01-13T11:48:00Z</dcterms:modified>
</cp:coreProperties>
</file>