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09" w:rsidRDefault="00473609" w:rsidP="00473609"/>
    <w:tbl>
      <w:tblPr>
        <w:tblStyle w:val="Tablaconcuadrcula"/>
        <w:tblW w:w="9889" w:type="dxa"/>
        <w:tblLayout w:type="fixed"/>
        <w:tblLook w:val="04A0" w:firstRow="1" w:lastRow="0" w:firstColumn="1" w:lastColumn="0" w:noHBand="0" w:noVBand="1"/>
      </w:tblPr>
      <w:tblGrid>
        <w:gridCol w:w="1809"/>
        <w:gridCol w:w="567"/>
        <w:gridCol w:w="2268"/>
        <w:gridCol w:w="5245"/>
      </w:tblGrid>
      <w:tr w:rsidR="00473609" w:rsidTr="00473609">
        <w:tc>
          <w:tcPr>
            <w:tcW w:w="9889" w:type="dxa"/>
            <w:gridSpan w:val="4"/>
            <w:tcBorders>
              <w:bottom w:val="single" w:sz="4" w:space="0" w:color="auto"/>
            </w:tcBorders>
            <w:shd w:val="clear" w:color="auto" w:fill="F2F2F2" w:themeFill="background1" w:themeFillShade="F2"/>
          </w:tcPr>
          <w:p w:rsidR="00473609" w:rsidRPr="006E0748" w:rsidRDefault="00473609" w:rsidP="00473609">
            <w:pPr>
              <w:jc w:val="center"/>
            </w:pPr>
            <w:r w:rsidRPr="006E0748">
              <w:rPr>
                <w:rFonts w:ascii="Calibri" w:hAnsi="Calibri"/>
                <w:b/>
              </w:rPr>
              <w:t xml:space="preserve">INFORME </w:t>
            </w:r>
            <w:r>
              <w:rPr>
                <w:rFonts w:ascii="Calibri" w:hAnsi="Calibri"/>
                <w:b/>
              </w:rPr>
              <w:t xml:space="preserve">EJECUTIVO </w:t>
            </w:r>
            <w:r w:rsidRPr="006E0748">
              <w:rPr>
                <w:rFonts w:ascii="Calibri" w:hAnsi="Calibri"/>
                <w:b/>
              </w:rPr>
              <w:t>DE AUDITORÍA INTERNA</w:t>
            </w:r>
            <w:r>
              <w:rPr>
                <w:rFonts w:ascii="Calibri" w:hAnsi="Calibri"/>
                <w:b/>
              </w:rPr>
              <w:t xml:space="preserve"> DE </w:t>
            </w:r>
            <w:r w:rsidRPr="006E0748">
              <w:rPr>
                <w:rFonts w:ascii="Calibri" w:hAnsi="Calibri"/>
                <w:b/>
              </w:rPr>
              <w:t>ANUAL</w:t>
            </w:r>
            <w:r>
              <w:rPr>
                <w:rFonts w:ascii="Calibri" w:hAnsi="Calibri"/>
                <w:b/>
              </w:rPr>
              <w:t xml:space="preserve"> CICLO</w:t>
            </w:r>
            <w:r w:rsidRPr="006E0748">
              <w:rPr>
                <w:rFonts w:ascii="Calibri" w:hAnsi="Calibri"/>
                <w:b/>
              </w:rPr>
              <w:t xml:space="preserve"> 201</w:t>
            </w:r>
            <w:r>
              <w:rPr>
                <w:rFonts w:ascii="Calibri" w:hAnsi="Calibri"/>
                <w:b/>
              </w:rPr>
              <w:t>5</w:t>
            </w:r>
            <w:r w:rsidRPr="006E0748">
              <w:rPr>
                <w:rFonts w:ascii="Calibri" w:hAnsi="Calibri"/>
                <w:b/>
              </w:rPr>
              <w:t>.</w:t>
            </w:r>
          </w:p>
        </w:tc>
      </w:tr>
      <w:tr w:rsidR="00473609" w:rsidRPr="009C3E57" w:rsidTr="00473609">
        <w:trPr>
          <w:trHeight w:val="322"/>
        </w:trPr>
        <w:tc>
          <w:tcPr>
            <w:tcW w:w="1809" w:type="dxa"/>
            <w:tcBorders>
              <w:bottom w:val="single" w:sz="4" w:space="0" w:color="auto"/>
              <w:right w:val="single" w:sz="4" w:space="0" w:color="auto"/>
            </w:tcBorders>
            <w:shd w:val="clear" w:color="auto" w:fill="F2F2F2" w:themeFill="background1" w:themeFillShade="F2"/>
          </w:tcPr>
          <w:p w:rsidR="00473609" w:rsidRPr="006E0748" w:rsidRDefault="00473609" w:rsidP="00473609">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tcPr>
          <w:p w:rsidR="00473609" w:rsidRPr="008D06CF" w:rsidRDefault="00473609" w:rsidP="00473609">
            <w:pPr>
              <w:rPr>
                <w:b/>
              </w:rPr>
            </w:pPr>
            <w:r>
              <w:t>PC08.- GESTIÓN DE LA PRESTACIÓN DE SERVICIOS DE APOYO CIENTÍFICO-TÉCNICO</w:t>
            </w:r>
          </w:p>
        </w:tc>
      </w:tr>
      <w:tr w:rsidR="00473609" w:rsidRPr="000F576E" w:rsidTr="00473609">
        <w:tc>
          <w:tcPr>
            <w:tcW w:w="4644" w:type="dxa"/>
            <w:gridSpan w:val="3"/>
            <w:tcBorders>
              <w:right w:val="single" w:sz="4" w:space="0" w:color="auto"/>
            </w:tcBorders>
            <w:shd w:val="clear" w:color="auto" w:fill="F2F2F2" w:themeFill="background1" w:themeFillShade="F2"/>
          </w:tcPr>
          <w:p w:rsidR="00473609" w:rsidRPr="006E0748" w:rsidRDefault="00473609" w:rsidP="00473609">
            <w:r w:rsidRPr="006E0748">
              <w:rPr>
                <w:b/>
              </w:rPr>
              <w:t>FECHA</w:t>
            </w:r>
            <w:r>
              <w:rPr>
                <w:b/>
              </w:rPr>
              <w:t xml:space="preserve"> DE REALIZACIÓN DE LA AUDITORÍA</w:t>
            </w:r>
            <w:r w:rsidRPr="006E0748">
              <w:rPr>
                <w:b/>
              </w:rPr>
              <w:t xml:space="preserve">: </w:t>
            </w:r>
          </w:p>
        </w:tc>
        <w:tc>
          <w:tcPr>
            <w:tcW w:w="5245" w:type="dxa"/>
            <w:tcBorders>
              <w:left w:val="single" w:sz="4" w:space="0" w:color="auto"/>
            </w:tcBorders>
          </w:tcPr>
          <w:p w:rsidR="00473609" w:rsidRPr="006E0748" w:rsidRDefault="004154C1" w:rsidP="00473609">
            <w:r>
              <w:t>15</w:t>
            </w:r>
            <w:r w:rsidR="00473609">
              <w:t>/2/2016</w:t>
            </w:r>
          </w:p>
        </w:tc>
      </w:tr>
      <w:tr w:rsidR="00473609" w:rsidRPr="006E0748" w:rsidTr="00473609">
        <w:trPr>
          <w:trHeight w:val="845"/>
        </w:trPr>
        <w:tc>
          <w:tcPr>
            <w:tcW w:w="2376" w:type="dxa"/>
            <w:gridSpan w:val="2"/>
            <w:shd w:val="clear" w:color="auto" w:fill="F2F2F2" w:themeFill="background1" w:themeFillShade="F2"/>
            <w:vAlign w:val="center"/>
          </w:tcPr>
          <w:p w:rsidR="00473609" w:rsidRPr="006E0748" w:rsidRDefault="00473609" w:rsidP="00473609">
            <w:r>
              <w:rPr>
                <w:b/>
              </w:rPr>
              <w:t>AUDITORES</w:t>
            </w:r>
            <w:r w:rsidRPr="006E0748">
              <w:rPr>
                <w:b/>
              </w:rPr>
              <w:t xml:space="preserve"> </w:t>
            </w:r>
            <w:r>
              <w:rPr>
                <w:b/>
              </w:rPr>
              <w:t>:</w:t>
            </w:r>
          </w:p>
        </w:tc>
        <w:tc>
          <w:tcPr>
            <w:tcW w:w="7513" w:type="dxa"/>
            <w:gridSpan w:val="2"/>
          </w:tcPr>
          <w:p w:rsidR="00473609" w:rsidRDefault="00473609" w:rsidP="00473609">
            <w:pPr>
              <w:pStyle w:val="Prrafodelista"/>
              <w:numPr>
                <w:ilvl w:val="0"/>
                <w:numId w:val="6"/>
              </w:numPr>
              <w:spacing w:after="200"/>
            </w:pPr>
            <w:r>
              <w:t>Auditor/a coordinador/a de proceso: Francisco David Susí García</w:t>
            </w:r>
          </w:p>
          <w:p w:rsidR="00473609" w:rsidRPr="008D06CF" w:rsidRDefault="00473609" w:rsidP="0093774D">
            <w:pPr>
              <w:numPr>
                <w:ilvl w:val="0"/>
                <w:numId w:val="6"/>
              </w:numPr>
            </w:pPr>
            <w:r>
              <w:t xml:space="preserve">Auditor/es: María del Carmen </w:t>
            </w:r>
            <w:r w:rsidR="0093774D">
              <w:t>H</w:t>
            </w:r>
            <w:r>
              <w:t>igueras Herrador</w:t>
            </w:r>
          </w:p>
        </w:tc>
      </w:tr>
      <w:tr w:rsidR="00473609" w:rsidRPr="006E0748" w:rsidTr="00473609">
        <w:trPr>
          <w:trHeight w:val="982"/>
        </w:trPr>
        <w:tc>
          <w:tcPr>
            <w:tcW w:w="2376" w:type="dxa"/>
            <w:gridSpan w:val="2"/>
            <w:shd w:val="clear" w:color="auto" w:fill="F2F2F2" w:themeFill="background1" w:themeFillShade="F2"/>
            <w:vAlign w:val="center"/>
          </w:tcPr>
          <w:p w:rsidR="00473609" w:rsidRPr="006E0748" w:rsidRDefault="00473609" w:rsidP="00473609">
            <w:r>
              <w:rPr>
                <w:b/>
              </w:rPr>
              <w:t>RESPONSABLE DE UNIDAD:</w:t>
            </w:r>
          </w:p>
        </w:tc>
        <w:tc>
          <w:tcPr>
            <w:tcW w:w="7513" w:type="dxa"/>
            <w:gridSpan w:val="2"/>
            <w:vAlign w:val="center"/>
          </w:tcPr>
          <w:p w:rsidR="00473609" w:rsidRPr="000F1E78" w:rsidRDefault="00473609" w:rsidP="00473609">
            <w:pPr>
              <w:numPr>
                <w:ilvl w:val="0"/>
                <w:numId w:val="6"/>
              </w:numPr>
              <w:rPr>
                <w:sz w:val="20"/>
                <w:szCs w:val="20"/>
              </w:rPr>
            </w:pPr>
            <w:r>
              <w:t>Marina Gómez Torres</w:t>
            </w:r>
          </w:p>
        </w:tc>
      </w:tr>
      <w:tr w:rsidR="00473609" w:rsidRPr="006E0748" w:rsidTr="00473609">
        <w:trPr>
          <w:trHeight w:val="423"/>
        </w:trPr>
        <w:tc>
          <w:tcPr>
            <w:tcW w:w="2376" w:type="dxa"/>
            <w:gridSpan w:val="2"/>
            <w:shd w:val="clear" w:color="auto" w:fill="F2F2F2" w:themeFill="background1" w:themeFillShade="F2"/>
          </w:tcPr>
          <w:p w:rsidR="00473609" w:rsidRPr="006E0748" w:rsidRDefault="00473609" w:rsidP="00473609">
            <w:pPr>
              <w:rPr>
                <w:color w:val="365F91" w:themeColor="accent1" w:themeShade="BF"/>
              </w:rPr>
            </w:pPr>
            <w:r>
              <w:rPr>
                <w:b/>
              </w:rPr>
              <w:t>PROCESOS DE LA UNIDAD</w:t>
            </w:r>
          </w:p>
        </w:tc>
        <w:tc>
          <w:tcPr>
            <w:tcW w:w="7513" w:type="dxa"/>
            <w:gridSpan w:val="2"/>
          </w:tcPr>
          <w:p w:rsidR="00473609" w:rsidRPr="00432522" w:rsidRDefault="00473609" w:rsidP="00473609">
            <w:pPr>
              <w:pStyle w:val="Prrafodelista"/>
              <w:numPr>
                <w:ilvl w:val="0"/>
                <w:numId w:val="6"/>
              </w:numPr>
              <w:rPr>
                <w:b/>
              </w:rPr>
            </w:pPr>
            <w:r w:rsidRPr="00473609">
              <w:rPr>
                <w:rFonts w:ascii="Calibri" w:eastAsia="Calibri" w:hAnsi="Calibri"/>
              </w:rPr>
              <w:t>Unidad funcional de Técnicos de Laboratorio de Apoyo a Departamentos, Institutos y Centros de Investigación (UTLA)</w:t>
            </w:r>
          </w:p>
        </w:tc>
      </w:tr>
    </w:tbl>
    <w:p w:rsidR="00473609" w:rsidRDefault="00473609" w:rsidP="00473609">
      <w:pPr>
        <w:rPr>
          <w:b/>
        </w:rPr>
      </w:pPr>
    </w:p>
    <w:p w:rsidR="00473609" w:rsidRDefault="00473609" w:rsidP="00473609">
      <w:pPr>
        <w:rPr>
          <w:b/>
        </w:rPr>
      </w:pPr>
    </w:p>
    <w:tbl>
      <w:tblPr>
        <w:tblStyle w:val="Tablaconcuadrcula"/>
        <w:tblW w:w="9892" w:type="dxa"/>
        <w:tblLayout w:type="fixed"/>
        <w:tblLook w:val="04A0" w:firstRow="1" w:lastRow="0" w:firstColumn="1" w:lastColumn="0" w:noHBand="0" w:noVBand="1"/>
      </w:tblPr>
      <w:tblGrid>
        <w:gridCol w:w="1951"/>
        <w:gridCol w:w="7941"/>
      </w:tblGrid>
      <w:tr w:rsidR="00473609" w:rsidRPr="006E0748" w:rsidTr="00473609">
        <w:trPr>
          <w:trHeight w:val="423"/>
        </w:trPr>
        <w:tc>
          <w:tcPr>
            <w:tcW w:w="9892" w:type="dxa"/>
            <w:gridSpan w:val="2"/>
            <w:tcBorders>
              <w:bottom w:val="single" w:sz="4" w:space="0" w:color="auto"/>
            </w:tcBorders>
            <w:shd w:val="clear" w:color="auto" w:fill="F2F2F2" w:themeFill="background1" w:themeFillShade="F2"/>
          </w:tcPr>
          <w:p w:rsidR="00473609" w:rsidRPr="006E0748" w:rsidRDefault="00473609" w:rsidP="00473609">
            <w:pPr>
              <w:jc w:val="center"/>
              <w:rPr>
                <w:color w:val="365F91" w:themeColor="accent1" w:themeShade="BF"/>
              </w:rPr>
            </w:pPr>
            <w:r>
              <w:rPr>
                <w:b/>
              </w:rPr>
              <w:t>OBJETIVOS DE AUDITORÍA: AUDITORÍA DE SISTEMA/PROCESOS</w:t>
            </w:r>
          </w:p>
        </w:tc>
      </w:tr>
      <w:tr w:rsidR="00473609" w:rsidRPr="00BB07E5" w:rsidTr="00473609">
        <w:trPr>
          <w:trHeight w:val="423"/>
        </w:trPr>
        <w:tc>
          <w:tcPr>
            <w:tcW w:w="9892" w:type="dxa"/>
            <w:gridSpan w:val="2"/>
            <w:vAlign w:val="center"/>
          </w:tcPr>
          <w:p w:rsidR="00473609" w:rsidRPr="00BB07E5" w:rsidRDefault="00473609" w:rsidP="00473609">
            <w:r>
              <w:rPr>
                <w:b/>
              </w:rPr>
              <w:t xml:space="preserve">1.- No conformidades. </w:t>
            </w:r>
            <w:r w:rsidRPr="00F11D47">
              <w:rPr>
                <w:rFonts w:ascii="Calibri" w:eastAsia="Calibri" w:hAnsi="Calibri"/>
              </w:rPr>
              <w:t>Verificación y cierre de las correcciones, acciones correctivas y acciones preventivas pendientes de los planes correspondientes de las No Conformidades de Auditoría y No Conformidades Internas.</w:t>
            </w:r>
          </w:p>
        </w:tc>
      </w:tr>
      <w:tr w:rsidR="00473609" w:rsidTr="00473609">
        <w:tc>
          <w:tcPr>
            <w:tcW w:w="1951" w:type="dxa"/>
          </w:tcPr>
          <w:p w:rsidR="00473609" w:rsidRPr="008574EB" w:rsidRDefault="00473609" w:rsidP="00473609">
            <w:pPr>
              <w:rPr>
                <w:b/>
              </w:rPr>
            </w:pPr>
            <w:r w:rsidRPr="008574EB">
              <w:rPr>
                <w:b/>
              </w:rPr>
              <w:t>Valoración.</w:t>
            </w:r>
          </w:p>
        </w:tc>
        <w:tc>
          <w:tcPr>
            <w:tcW w:w="7941" w:type="dxa"/>
          </w:tcPr>
          <w:p w:rsidR="00473609" w:rsidRDefault="00473609" w:rsidP="00473609">
            <w:pPr>
              <w:rPr>
                <w:rFonts w:ascii="Calibri" w:eastAsia="Calibri" w:hAnsi="Calibri"/>
              </w:rPr>
            </w:pPr>
            <w:r w:rsidRPr="00473609">
              <w:rPr>
                <w:rFonts w:ascii="Calibri" w:eastAsia="Calibri" w:hAnsi="Calibri"/>
              </w:rPr>
              <w:t>La Unidad funcional de Técnicos de Laboratorio de Apoyo a Departamentos, Institutos y Centros de Investigación no presenta ninguna No Conformidad.</w:t>
            </w:r>
          </w:p>
          <w:p w:rsidR="00473609" w:rsidRDefault="00473609" w:rsidP="00473609"/>
        </w:tc>
      </w:tr>
      <w:tr w:rsidR="00473609" w:rsidRPr="00BB07E5" w:rsidTr="00473609">
        <w:trPr>
          <w:trHeight w:val="423"/>
        </w:trPr>
        <w:tc>
          <w:tcPr>
            <w:tcW w:w="9892" w:type="dxa"/>
            <w:gridSpan w:val="2"/>
            <w:vAlign w:val="center"/>
          </w:tcPr>
          <w:p w:rsidR="00473609" w:rsidRPr="00C942D9" w:rsidRDefault="00473609" w:rsidP="00473609">
            <w:pPr>
              <w:jc w:val="both"/>
              <w:rPr>
                <w:b/>
              </w:rPr>
            </w:pPr>
            <w:r w:rsidRPr="00C942D9">
              <w:rPr>
                <w:b/>
              </w:rPr>
              <w:t>2.-</w:t>
            </w:r>
            <w:r>
              <w:t xml:space="preserve"> </w:t>
            </w:r>
            <w:r w:rsidRPr="00F11D47">
              <w:rPr>
                <w:b/>
              </w:rPr>
              <w:t>La conformidad de la gestión de los proces</w:t>
            </w:r>
            <w:r>
              <w:rPr>
                <w:b/>
              </w:rPr>
              <w:t>os y la prestación de servicios</w:t>
            </w:r>
            <w:r w:rsidRPr="00F11D47">
              <w:rPr>
                <w:b/>
              </w:rPr>
              <w:t xml:space="preserve">, </w:t>
            </w:r>
            <w:r w:rsidRPr="00F11D47">
              <w:t>a través de la implantación y mantenimiento eficaz del sistema de gestión de la calidad respecto de los requisitos de la Norma de referencia del sistema: UNE-EN-ISO-9001:2008: “Sistemas de Gestión de la Calidad. Requisitos”.</w:t>
            </w:r>
          </w:p>
        </w:tc>
      </w:tr>
      <w:tr w:rsidR="00473609" w:rsidRPr="00BB07E5" w:rsidTr="00473609">
        <w:trPr>
          <w:trHeight w:val="270"/>
        </w:trPr>
        <w:tc>
          <w:tcPr>
            <w:tcW w:w="1951" w:type="dxa"/>
            <w:vAlign w:val="center"/>
          </w:tcPr>
          <w:p w:rsidR="00473609" w:rsidRPr="00F11D47" w:rsidRDefault="00473609" w:rsidP="00473609">
            <w:pPr>
              <w:rPr>
                <w:b/>
              </w:rPr>
            </w:pPr>
            <w:r w:rsidRPr="00F11D47">
              <w:rPr>
                <w:b/>
              </w:rPr>
              <w:t>Valoración.</w:t>
            </w:r>
          </w:p>
        </w:tc>
        <w:tc>
          <w:tcPr>
            <w:tcW w:w="7941" w:type="dxa"/>
            <w:vAlign w:val="center"/>
          </w:tcPr>
          <w:p w:rsidR="00473609" w:rsidRPr="00C842C0" w:rsidRDefault="00473609" w:rsidP="00473609">
            <w:pPr>
              <w:pStyle w:val="Prrafodelista"/>
              <w:numPr>
                <w:ilvl w:val="0"/>
                <w:numId w:val="23"/>
              </w:numPr>
            </w:pPr>
            <w:r w:rsidRPr="00C842C0">
              <w:t>Se verifica la conformidad de la gestión de los procesos auditado</w:t>
            </w:r>
            <w:r>
              <w:t>s, así como los registros asociados.</w:t>
            </w:r>
          </w:p>
        </w:tc>
      </w:tr>
      <w:tr w:rsidR="00FF4EB0" w:rsidRPr="00BB07E5" w:rsidTr="00473609">
        <w:trPr>
          <w:trHeight w:val="270"/>
        </w:trPr>
        <w:tc>
          <w:tcPr>
            <w:tcW w:w="1951" w:type="dxa"/>
            <w:vAlign w:val="center"/>
          </w:tcPr>
          <w:p w:rsidR="00FF4EB0" w:rsidRPr="00F11D47" w:rsidRDefault="00FF4EB0" w:rsidP="00473609">
            <w:pPr>
              <w:rPr>
                <w:b/>
              </w:rPr>
            </w:pPr>
            <w:r>
              <w:rPr>
                <w:b/>
              </w:rPr>
              <w:t>Observaciones/Recomendaciones</w:t>
            </w:r>
          </w:p>
        </w:tc>
        <w:tc>
          <w:tcPr>
            <w:tcW w:w="7941" w:type="dxa"/>
            <w:vAlign w:val="center"/>
          </w:tcPr>
          <w:p w:rsidR="00FF4EB0" w:rsidRDefault="00A3638E" w:rsidP="00FF4EB0">
            <w:pPr>
              <w:pStyle w:val="Prrafodelista"/>
              <w:numPr>
                <w:ilvl w:val="0"/>
                <w:numId w:val="23"/>
              </w:numPr>
            </w:pPr>
            <w:r>
              <w:t xml:space="preserve">En referencia a las solicitudes que se recaban verbal o telefónicamente, </w:t>
            </w:r>
            <w:r w:rsidR="00FF4EB0">
              <w:t>se recomienda que se establezcan los mecanismos necesarios para que todas las solicitudes tengan entrada a través de la plataforma para que</w:t>
            </w:r>
            <w:r>
              <w:t xml:space="preserve"> </w:t>
            </w:r>
            <w:r w:rsidR="00FF4EB0">
              <w:t>quede constancia de la verdadera ejecución del proceso.</w:t>
            </w:r>
          </w:p>
          <w:p w:rsidR="00FF4EB0" w:rsidRPr="00C842C0" w:rsidRDefault="00FF4EB0" w:rsidP="00A3638E">
            <w:pPr>
              <w:pStyle w:val="Prrafodelista"/>
              <w:numPr>
                <w:ilvl w:val="0"/>
                <w:numId w:val="23"/>
              </w:numPr>
            </w:pPr>
            <w:r>
              <w:t>Se recomienda establecer los mecanismos necesarios para dejar constancia en todas las incidencias de si ésta se ha solucionado</w:t>
            </w:r>
            <w:r w:rsidR="00A3638E">
              <w:t xml:space="preserve"> o </w:t>
            </w:r>
            <w:r>
              <w:t xml:space="preserve">desechado, indicando su fecha de finalización, como así se viene recomendando en anteriores auditorías.  </w:t>
            </w:r>
          </w:p>
        </w:tc>
      </w:tr>
      <w:tr w:rsidR="00473609" w:rsidRPr="00BB07E5" w:rsidTr="00473609">
        <w:trPr>
          <w:trHeight w:val="423"/>
        </w:trPr>
        <w:tc>
          <w:tcPr>
            <w:tcW w:w="9892" w:type="dxa"/>
            <w:gridSpan w:val="2"/>
            <w:vAlign w:val="center"/>
          </w:tcPr>
          <w:p w:rsidR="00473609" w:rsidRPr="00BB07E5" w:rsidRDefault="00473609" w:rsidP="00473609">
            <w:r>
              <w:rPr>
                <w:b/>
              </w:rPr>
              <w:t xml:space="preserve">3.- Indicadores.  </w:t>
            </w:r>
            <w:r w:rsidRPr="00F11D47">
              <w:t>Medición y seguimiento de los indicadores de los procesos y compromisos de calidad y el grado de consecución de los objetivos planificados.</w:t>
            </w:r>
          </w:p>
        </w:tc>
      </w:tr>
      <w:tr w:rsidR="00473609" w:rsidTr="00473609">
        <w:tc>
          <w:tcPr>
            <w:tcW w:w="1951" w:type="dxa"/>
          </w:tcPr>
          <w:p w:rsidR="00473609" w:rsidRPr="008574EB" w:rsidRDefault="00473609" w:rsidP="00473609">
            <w:pPr>
              <w:rPr>
                <w:b/>
              </w:rPr>
            </w:pPr>
            <w:r w:rsidRPr="008574EB">
              <w:rPr>
                <w:b/>
              </w:rPr>
              <w:t>Valoración.</w:t>
            </w:r>
          </w:p>
        </w:tc>
        <w:tc>
          <w:tcPr>
            <w:tcW w:w="7941" w:type="dxa"/>
          </w:tcPr>
          <w:p w:rsidR="00473609" w:rsidRDefault="00473609" w:rsidP="00473609">
            <w:pPr>
              <w:pStyle w:val="Prrafodelista"/>
              <w:numPr>
                <w:ilvl w:val="0"/>
                <w:numId w:val="23"/>
              </w:numPr>
              <w:jc w:val="both"/>
            </w:pPr>
            <w:r w:rsidRPr="002E2935">
              <w:t xml:space="preserve">Se verifica </w:t>
            </w:r>
            <w:r>
              <w:t>que la Unidad ha realizado las mediciones periódicas de todos los indicadores del proceso de acuerdo con la planificación de sus fichas de indicadores, el cumplimiento de los valores objetivos establecidos y los compromisos de calidad.</w:t>
            </w:r>
          </w:p>
        </w:tc>
      </w:tr>
      <w:tr w:rsidR="00473609" w:rsidTr="00473609">
        <w:tc>
          <w:tcPr>
            <w:tcW w:w="1951" w:type="dxa"/>
          </w:tcPr>
          <w:p w:rsidR="00473609" w:rsidRPr="008574EB" w:rsidRDefault="00473609" w:rsidP="00473609">
            <w:pPr>
              <w:rPr>
                <w:b/>
              </w:rPr>
            </w:pPr>
            <w:r w:rsidRPr="008574EB">
              <w:rPr>
                <w:b/>
              </w:rPr>
              <w:t>Observaciones/</w:t>
            </w:r>
          </w:p>
          <w:p w:rsidR="00473609" w:rsidRDefault="00473609" w:rsidP="00473609">
            <w:r w:rsidRPr="008574EB">
              <w:rPr>
                <w:b/>
              </w:rPr>
              <w:t>Recomendaciones</w:t>
            </w:r>
          </w:p>
        </w:tc>
        <w:tc>
          <w:tcPr>
            <w:tcW w:w="7941" w:type="dxa"/>
          </w:tcPr>
          <w:p w:rsidR="00473609" w:rsidRDefault="00C27934" w:rsidP="00C27934">
            <w:pPr>
              <w:jc w:val="both"/>
            </w:pPr>
            <w:r>
              <w:t xml:space="preserve">La totalidad de indicadores se han medido y conseguido superar los valores </w:t>
            </w:r>
            <w:r w:rsidR="004154C1">
              <w:t>objetivos establecidos</w:t>
            </w:r>
            <w:r>
              <w:t>, por consiguiente se han superado los compromisos de calidad asociados.</w:t>
            </w:r>
          </w:p>
        </w:tc>
      </w:tr>
      <w:tr w:rsidR="00473609" w:rsidRPr="00BB07E5" w:rsidTr="00473609">
        <w:trPr>
          <w:trHeight w:val="423"/>
        </w:trPr>
        <w:tc>
          <w:tcPr>
            <w:tcW w:w="9892" w:type="dxa"/>
            <w:gridSpan w:val="2"/>
            <w:vAlign w:val="center"/>
          </w:tcPr>
          <w:p w:rsidR="00473609" w:rsidRPr="00BB07E5" w:rsidRDefault="00473609" w:rsidP="00473609">
            <w:pPr>
              <w:jc w:val="both"/>
            </w:pPr>
            <w:r>
              <w:rPr>
                <w:rFonts w:ascii="Calibri" w:hAnsi="Calibri"/>
                <w:b/>
              </w:rPr>
              <w:t>4.-Q</w:t>
            </w:r>
            <w:r w:rsidRPr="00750017">
              <w:rPr>
                <w:rFonts w:ascii="Calibri" w:hAnsi="Calibri"/>
                <w:b/>
              </w:rPr>
              <w:t>uejas y sugerencias</w:t>
            </w:r>
            <w:r>
              <w:rPr>
                <w:rFonts w:ascii="Calibri" w:hAnsi="Calibri"/>
                <w:b/>
              </w:rPr>
              <w:t xml:space="preserve"> e información directa de clientes.</w:t>
            </w:r>
            <w:r w:rsidRPr="00033B6F">
              <w:rPr>
                <w:rFonts w:ascii="Calibri" w:hAnsi="Calibri"/>
              </w:rPr>
              <w:t xml:space="preserve"> </w:t>
            </w:r>
            <w:r w:rsidRPr="00DF23AC">
              <w:rPr>
                <w:rFonts w:ascii="Calibri" w:hAnsi="Calibri"/>
              </w:rPr>
              <w:t>Medición y seguimiento de los resultados de retroalimen</w:t>
            </w:r>
            <w:r>
              <w:rPr>
                <w:rFonts w:ascii="Calibri" w:hAnsi="Calibri"/>
              </w:rPr>
              <w:t>tación de los grupos de interés.</w:t>
            </w:r>
          </w:p>
        </w:tc>
      </w:tr>
      <w:tr w:rsidR="00473609" w:rsidTr="00473609">
        <w:tc>
          <w:tcPr>
            <w:tcW w:w="1951" w:type="dxa"/>
          </w:tcPr>
          <w:p w:rsidR="00473609" w:rsidRPr="008574EB" w:rsidRDefault="00473609" w:rsidP="00473609">
            <w:pPr>
              <w:rPr>
                <w:b/>
              </w:rPr>
            </w:pPr>
            <w:r w:rsidRPr="008574EB">
              <w:rPr>
                <w:b/>
              </w:rPr>
              <w:t>Valoración.</w:t>
            </w:r>
          </w:p>
        </w:tc>
        <w:tc>
          <w:tcPr>
            <w:tcW w:w="7941" w:type="dxa"/>
          </w:tcPr>
          <w:p w:rsidR="00473609" w:rsidRDefault="00C27934" w:rsidP="00473609">
            <w:pPr>
              <w:pStyle w:val="Prrafodelista"/>
              <w:numPr>
                <w:ilvl w:val="0"/>
                <w:numId w:val="23"/>
              </w:numPr>
              <w:jc w:val="both"/>
            </w:pPr>
            <w:r>
              <w:t>La Unidad no tiene constancia de ninguna queja o sugerencia registrada de forma oficial. Sí manifiestan que se ha recibido información directa de los clientes vía telefónica y verbal</w:t>
            </w:r>
            <w:r w:rsidR="00473609">
              <w:t>.</w:t>
            </w:r>
          </w:p>
        </w:tc>
      </w:tr>
      <w:tr w:rsidR="00473609" w:rsidTr="00473609">
        <w:tc>
          <w:tcPr>
            <w:tcW w:w="1951" w:type="dxa"/>
            <w:tcBorders>
              <w:bottom w:val="single" w:sz="8" w:space="0" w:color="auto"/>
            </w:tcBorders>
          </w:tcPr>
          <w:p w:rsidR="00473609" w:rsidRPr="008574EB" w:rsidRDefault="00473609" w:rsidP="00473609">
            <w:pPr>
              <w:rPr>
                <w:b/>
              </w:rPr>
            </w:pPr>
            <w:r w:rsidRPr="008574EB">
              <w:rPr>
                <w:b/>
              </w:rPr>
              <w:t>Observaciones/</w:t>
            </w:r>
          </w:p>
          <w:p w:rsidR="00473609" w:rsidRDefault="00473609" w:rsidP="00473609">
            <w:r w:rsidRPr="008574EB">
              <w:rPr>
                <w:b/>
              </w:rPr>
              <w:t>Recomendaciones</w:t>
            </w:r>
          </w:p>
        </w:tc>
        <w:tc>
          <w:tcPr>
            <w:tcW w:w="7941" w:type="dxa"/>
            <w:tcBorders>
              <w:bottom w:val="single" w:sz="8" w:space="0" w:color="auto"/>
            </w:tcBorders>
          </w:tcPr>
          <w:p w:rsidR="00473609" w:rsidRDefault="00C27934" w:rsidP="00C27934">
            <w:pPr>
              <w:pStyle w:val="Prrafodelista"/>
              <w:ind w:left="34"/>
            </w:pPr>
            <w:r>
              <w:t xml:space="preserve">Si bien se valora positivamente que de algún modo se haya recabado información directa de los clientes y las mejoras realizadas hayan sido valoradas por estos de forma positiva, se recomienda dejar constancia de las mismas, así como dar la </w:t>
            </w:r>
            <w:r>
              <w:lastRenderedPageBreak/>
              <w:t>oportuna publicidad de aquellas mejoras en las que desemboquen las actuaciones que se lleven a cabo respecto a esta información directa de los clientes.</w:t>
            </w:r>
          </w:p>
        </w:tc>
      </w:tr>
      <w:tr w:rsidR="00473609" w:rsidTr="00473609">
        <w:tc>
          <w:tcPr>
            <w:tcW w:w="9892" w:type="dxa"/>
            <w:gridSpan w:val="2"/>
            <w:tcBorders>
              <w:top w:val="single" w:sz="8" w:space="0" w:color="auto"/>
              <w:left w:val="single" w:sz="8" w:space="0" w:color="auto"/>
              <w:bottom w:val="single" w:sz="8" w:space="0" w:color="auto"/>
              <w:right w:val="single" w:sz="8" w:space="0" w:color="auto"/>
            </w:tcBorders>
          </w:tcPr>
          <w:p w:rsidR="00473609" w:rsidRDefault="00473609" w:rsidP="00473609">
            <w:pPr>
              <w:jc w:val="both"/>
              <w:rPr>
                <w:b/>
              </w:rPr>
            </w:pPr>
            <w:r>
              <w:rPr>
                <w:b/>
              </w:rPr>
              <w:lastRenderedPageBreak/>
              <w:t xml:space="preserve">5.- Encuestas: </w:t>
            </w:r>
            <w:r w:rsidRPr="00F92F30">
              <w:rPr>
                <w:rFonts w:ascii="Calibri" w:eastAsia="Calibri" w:hAnsi="Calibri"/>
              </w:rPr>
              <w:tab/>
              <w:t>Verificación de la realización de las encuestas correspondientes a los grupos de interés del proceso, así como, a fecha de auditoría, del seguimiento de los índices de participación y resultados obtenidos; en su caso, realización de acciones de mejora necesarias.</w:t>
            </w:r>
          </w:p>
        </w:tc>
      </w:tr>
      <w:tr w:rsidR="00473609" w:rsidTr="00473609">
        <w:tc>
          <w:tcPr>
            <w:tcW w:w="1951" w:type="dxa"/>
            <w:tcBorders>
              <w:top w:val="single" w:sz="8" w:space="0" w:color="auto"/>
              <w:left w:val="single" w:sz="8" w:space="0" w:color="auto"/>
              <w:bottom w:val="single" w:sz="8" w:space="0" w:color="auto"/>
              <w:right w:val="single" w:sz="8" w:space="0" w:color="auto"/>
            </w:tcBorders>
          </w:tcPr>
          <w:p w:rsidR="00473609" w:rsidRPr="008574EB" w:rsidRDefault="00473609" w:rsidP="00473609">
            <w:pPr>
              <w:rPr>
                <w:b/>
              </w:rPr>
            </w:pPr>
            <w:r>
              <w:rPr>
                <w:b/>
              </w:rPr>
              <w:t>Encuestas de Satisfacción General-</w:t>
            </w:r>
          </w:p>
        </w:tc>
        <w:tc>
          <w:tcPr>
            <w:tcW w:w="7941" w:type="dxa"/>
            <w:tcBorders>
              <w:top w:val="single" w:sz="8" w:space="0" w:color="auto"/>
              <w:left w:val="single" w:sz="8" w:space="0" w:color="auto"/>
              <w:bottom w:val="single" w:sz="8" w:space="0" w:color="auto"/>
              <w:right w:val="single" w:sz="8" w:space="0" w:color="auto"/>
            </w:tcBorders>
          </w:tcPr>
          <w:p w:rsidR="00473609" w:rsidRPr="006E5B37" w:rsidRDefault="00C27934" w:rsidP="004154C1">
            <w:r w:rsidRPr="006E5B37">
              <w:t xml:space="preserve">Se </w:t>
            </w:r>
            <w:r w:rsidR="004154C1">
              <w:t>v</w:t>
            </w:r>
            <w:r w:rsidRPr="006E5B37">
              <w:t xml:space="preserve">erifica la realización de </w:t>
            </w:r>
            <w:proofErr w:type="gramStart"/>
            <w:r w:rsidRPr="006E5B37">
              <w:t>las encuesta correspondiente</w:t>
            </w:r>
            <w:proofErr w:type="gramEnd"/>
            <w:r w:rsidRPr="006E5B37">
              <w:t>, los resultados obtenidos, así como</w:t>
            </w:r>
            <w:r w:rsidR="003B3D2F">
              <w:t xml:space="preserve"> los índices de participación</w:t>
            </w:r>
            <w:r w:rsidRPr="006E5B37">
              <w:t>.</w:t>
            </w:r>
          </w:p>
        </w:tc>
      </w:tr>
      <w:tr w:rsidR="00473609" w:rsidTr="00473609">
        <w:tc>
          <w:tcPr>
            <w:tcW w:w="1951" w:type="dxa"/>
            <w:tcBorders>
              <w:top w:val="single" w:sz="8" w:space="0" w:color="auto"/>
              <w:left w:val="single" w:sz="8" w:space="0" w:color="auto"/>
              <w:bottom w:val="single" w:sz="8" w:space="0" w:color="auto"/>
              <w:right w:val="single" w:sz="8" w:space="0" w:color="auto"/>
            </w:tcBorders>
          </w:tcPr>
          <w:p w:rsidR="00473609" w:rsidRDefault="00473609" w:rsidP="00473609">
            <w:pPr>
              <w:rPr>
                <w:b/>
              </w:rPr>
            </w:pPr>
            <w:r>
              <w:rPr>
                <w:b/>
              </w:rPr>
              <w:t>Encuestas Post-servicio.</w:t>
            </w:r>
          </w:p>
          <w:p w:rsidR="00473609" w:rsidRPr="008574EB" w:rsidRDefault="00473609" w:rsidP="00473609">
            <w:pPr>
              <w:rPr>
                <w:b/>
              </w:rPr>
            </w:pPr>
            <w:r>
              <w:rPr>
                <w:b/>
              </w:rPr>
              <w:t>Valoración.</w:t>
            </w:r>
          </w:p>
        </w:tc>
        <w:tc>
          <w:tcPr>
            <w:tcW w:w="7941" w:type="dxa"/>
            <w:tcBorders>
              <w:top w:val="single" w:sz="8" w:space="0" w:color="auto"/>
              <w:left w:val="single" w:sz="8" w:space="0" w:color="auto"/>
              <w:bottom w:val="single" w:sz="8" w:space="0" w:color="auto"/>
              <w:right w:val="single" w:sz="8" w:space="0" w:color="auto"/>
            </w:tcBorders>
          </w:tcPr>
          <w:p w:rsidR="00473609" w:rsidRPr="006E5B37" w:rsidRDefault="00473609" w:rsidP="004154C1">
            <w:r w:rsidRPr="006E5B37">
              <w:t xml:space="preserve">Se </w:t>
            </w:r>
            <w:r w:rsidR="004154C1">
              <w:t>v</w:t>
            </w:r>
            <w:r w:rsidRPr="006E5B37">
              <w:t xml:space="preserve">erifica la realización de las encuestas correspondientes, los resultados obtenidos, así como los índices de participación y </w:t>
            </w:r>
            <w:r>
              <w:t xml:space="preserve">en </w:t>
            </w:r>
            <w:proofErr w:type="gramStart"/>
            <w:r>
              <w:t xml:space="preserve">su </w:t>
            </w:r>
            <w:r w:rsidRPr="006E5B37">
              <w:t>acciones de mejora realizadas</w:t>
            </w:r>
            <w:proofErr w:type="gramEnd"/>
            <w:r w:rsidRPr="006E5B37">
              <w:t>.</w:t>
            </w:r>
          </w:p>
        </w:tc>
      </w:tr>
      <w:tr w:rsidR="00473609" w:rsidTr="00473609">
        <w:tc>
          <w:tcPr>
            <w:tcW w:w="1951" w:type="dxa"/>
            <w:tcBorders>
              <w:top w:val="single" w:sz="8" w:space="0" w:color="auto"/>
              <w:left w:val="single" w:sz="8" w:space="0" w:color="auto"/>
              <w:bottom w:val="single" w:sz="8" w:space="0" w:color="auto"/>
              <w:right w:val="single" w:sz="8" w:space="0" w:color="auto"/>
            </w:tcBorders>
          </w:tcPr>
          <w:p w:rsidR="00473609" w:rsidRPr="008574EB" w:rsidRDefault="00473609" w:rsidP="00473609">
            <w:pPr>
              <w:rPr>
                <w:b/>
              </w:rPr>
            </w:pPr>
            <w:r w:rsidRPr="008574EB">
              <w:rPr>
                <w:b/>
              </w:rPr>
              <w:t>Observaciones/</w:t>
            </w:r>
          </w:p>
          <w:p w:rsidR="00473609" w:rsidRDefault="00473609" w:rsidP="00473609">
            <w:pPr>
              <w:rPr>
                <w:b/>
              </w:rPr>
            </w:pPr>
            <w:r w:rsidRPr="008574EB">
              <w:rPr>
                <w:b/>
              </w:rPr>
              <w:t>Recomendaciones</w:t>
            </w:r>
          </w:p>
        </w:tc>
        <w:tc>
          <w:tcPr>
            <w:tcW w:w="7941" w:type="dxa"/>
            <w:tcBorders>
              <w:top w:val="single" w:sz="8" w:space="0" w:color="auto"/>
              <w:left w:val="single" w:sz="8" w:space="0" w:color="auto"/>
              <w:bottom w:val="single" w:sz="8" w:space="0" w:color="auto"/>
              <w:right w:val="single" w:sz="8" w:space="0" w:color="auto"/>
            </w:tcBorders>
          </w:tcPr>
          <w:p w:rsidR="00C27934" w:rsidRPr="00A96B63" w:rsidRDefault="00B40450" w:rsidP="00B40450">
            <w:pPr>
              <w:rPr>
                <w:sz w:val="20"/>
                <w:szCs w:val="20"/>
              </w:rPr>
            </w:pPr>
            <w:r>
              <w:rPr>
                <w:sz w:val="20"/>
                <w:szCs w:val="20"/>
              </w:rPr>
              <w:t xml:space="preserve">Se observa que la modificación de ítems en la encuesta general no ha supuesto el incremento de participación ni mejora en los resultados obtenidos. Se habrá de observar algunos ciclos más para ver su evolución. </w:t>
            </w:r>
          </w:p>
          <w:p w:rsidR="00C27934" w:rsidRPr="00A96B63" w:rsidRDefault="00C27934" w:rsidP="00C27934">
            <w:pPr>
              <w:rPr>
                <w:sz w:val="20"/>
                <w:szCs w:val="20"/>
              </w:rPr>
            </w:pPr>
          </w:p>
          <w:p w:rsidR="00473609" w:rsidRPr="006E5B37" w:rsidRDefault="00C27934" w:rsidP="00C27934">
            <w:r w:rsidRPr="00A96B63">
              <w:rPr>
                <w:rFonts w:ascii="Calibri" w:eastAsia="Times New Roman" w:hAnsi="Calibri" w:cs="Calibri"/>
                <w:spacing w:val="-1"/>
                <w:sz w:val="20"/>
                <w:szCs w:val="20"/>
                <w:lang w:eastAsia="es-ES"/>
              </w:rPr>
              <w:t>Se recomienda profundiza</w:t>
            </w:r>
            <w:r w:rsidRPr="00A96B63">
              <w:rPr>
                <w:rFonts w:ascii="Calibri" w:eastAsia="Times New Roman" w:hAnsi="Calibri" w:cs="Calibri"/>
                <w:sz w:val="20"/>
                <w:szCs w:val="20"/>
                <w:lang w:eastAsia="es-ES"/>
              </w:rPr>
              <w:t>r</w:t>
            </w:r>
            <w:r w:rsidRPr="00A96B63">
              <w:rPr>
                <w:rFonts w:ascii="Calibri" w:eastAsia="Times New Roman" w:hAnsi="Calibri" w:cs="Calibri"/>
                <w:spacing w:val="6"/>
                <w:sz w:val="20"/>
                <w:szCs w:val="20"/>
                <w:lang w:eastAsia="es-ES"/>
              </w:rPr>
              <w:t xml:space="preserve"> </w:t>
            </w:r>
            <w:r w:rsidRPr="00A96B63">
              <w:rPr>
                <w:rFonts w:ascii="Calibri" w:eastAsia="Times New Roman" w:hAnsi="Calibri" w:cs="Calibri"/>
                <w:spacing w:val="-1"/>
                <w:sz w:val="20"/>
                <w:szCs w:val="20"/>
                <w:lang w:eastAsia="es-ES"/>
              </w:rPr>
              <w:t>e</w:t>
            </w:r>
            <w:r w:rsidRPr="00A96B63">
              <w:rPr>
                <w:rFonts w:ascii="Calibri" w:eastAsia="Times New Roman" w:hAnsi="Calibri" w:cs="Calibri"/>
                <w:sz w:val="20"/>
                <w:szCs w:val="20"/>
                <w:lang w:eastAsia="es-ES"/>
              </w:rPr>
              <w:t>n</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e</w:t>
            </w:r>
            <w:r w:rsidRPr="00A96B63">
              <w:rPr>
                <w:rFonts w:ascii="Calibri" w:eastAsia="Times New Roman" w:hAnsi="Calibri" w:cs="Calibri"/>
                <w:sz w:val="20"/>
                <w:szCs w:val="20"/>
                <w:lang w:eastAsia="es-ES"/>
              </w:rPr>
              <w:t>l</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z w:val="20"/>
                <w:szCs w:val="20"/>
                <w:lang w:eastAsia="es-ES"/>
              </w:rPr>
              <w:t>e</w:t>
            </w:r>
            <w:r w:rsidRPr="00A96B63">
              <w:rPr>
                <w:rFonts w:ascii="Calibri" w:eastAsia="Times New Roman" w:hAnsi="Calibri" w:cs="Calibri"/>
                <w:spacing w:val="-1"/>
                <w:sz w:val="20"/>
                <w:szCs w:val="20"/>
                <w:lang w:eastAsia="es-ES"/>
              </w:rPr>
              <w:t>stablecim</w:t>
            </w:r>
            <w:r w:rsidRPr="00A96B63">
              <w:rPr>
                <w:rFonts w:ascii="Calibri" w:eastAsia="Times New Roman" w:hAnsi="Calibri" w:cs="Calibri"/>
                <w:sz w:val="20"/>
                <w:szCs w:val="20"/>
                <w:lang w:eastAsia="es-ES"/>
              </w:rPr>
              <w:t>i</w:t>
            </w:r>
            <w:r w:rsidRPr="00A96B63">
              <w:rPr>
                <w:rFonts w:ascii="Calibri" w:eastAsia="Times New Roman" w:hAnsi="Calibri" w:cs="Calibri"/>
                <w:spacing w:val="-1"/>
                <w:sz w:val="20"/>
                <w:szCs w:val="20"/>
                <w:lang w:eastAsia="es-ES"/>
              </w:rPr>
              <w:t>ent</w:t>
            </w:r>
            <w:r w:rsidRPr="00A96B63">
              <w:rPr>
                <w:rFonts w:ascii="Calibri" w:eastAsia="Times New Roman" w:hAnsi="Calibri" w:cs="Calibri"/>
                <w:sz w:val="20"/>
                <w:szCs w:val="20"/>
                <w:lang w:eastAsia="es-ES"/>
              </w:rPr>
              <w:t>o</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d</w:t>
            </w:r>
            <w:r w:rsidRPr="00A96B63">
              <w:rPr>
                <w:rFonts w:ascii="Calibri" w:eastAsia="Times New Roman" w:hAnsi="Calibri" w:cs="Calibri"/>
                <w:sz w:val="20"/>
                <w:szCs w:val="20"/>
                <w:lang w:eastAsia="es-ES"/>
              </w:rPr>
              <w:t>e</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medida</w:t>
            </w:r>
            <w:r w:rsidRPr="00A96B63">
              <w:rPr>
                <w:rFonts w:ascii="Calibri" w:eastAsia="Times New Roman" w:hAnsi="Calibri" w:cs="Calibri"/>
                <w:sz w:val="20"/>
                <w:szCs w:val="20"/>
                <w:lang w:eastAsia="es-ES"/>
              </w:rPr>
              <w:t>s</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qu</w:t>
            </w:r>
            <w:r w:rsidRPr="00A96B63">
              <w:rPr>
                <w:rFonts w:ascii="Calibri" w:eastAsia="Times New Roman" w:hAnsi="Calibri" w:cs="Calibri"/>
                <w:sz w:val="20"/>
                <w:szCs w:val="20"/>
                <w:lang w:eastAsia="es-ES"/>
              </w:rPr>
              <w:t>e</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fomente</w:t>
            </w:r>
            <w:r w:rsidRPr="00A96B63">
              <w:rPr>
                <w:rFonts w:ascii="Calibri" w:eastAsia="Times New Roman" w:hAnsi="Calibri" w:cs="Calibri"/>
                <w:sz w:val="20"/>
                <w:szCs w:val="20"/>
                <w:lang w:eastAsia="es-ES"/>
              </w:rPr>
              <w:t>n</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l</w:t>
            </w:r>
            <w:r w:rsidRPr="00A96B63">
              <w:rPr>
                <w:rFonts w:ascii="Calibri" w:eastAsia="Times New Roman" w:hAnsi="Calibri" w:cs="Calibri"/>
                <w:sz w:val="20"/>
                <w:szCs w:val="20"/>
                <w:lang w:eastAsia="es-ES"/>
              </w:rPr>
              <w:t>a</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participa</w:t>
            </w:r>
            <w:r w:rsidRPr="00A96B63">
              <w:rPr>
                <w:rFonts w:ascii="Calibri" w:eastAsia="Times New Roman" w:hAnsi="Calibri" w:cs="Calibri"/>
                <w:spacing w:val="-2"/>
                <w:sz w:val="20"/>
                <w:szCs w:val="20"/>
                <w:lang w:eastAsia="es-ES"/>
              </w:rPr>
              <w:t>c</w:t>
            </w:r>
            <w:r w:rsidRPr="00A96B63">
              <w:rPr>
                <w:rFonts w:ascii="Calibri" w:eastAsia="Times New Roman" w:hAnsi="Calibri" w:cs="Calibri"/>
                <w:spacing w:val="-1"/>
                <w:sz w:val="20"/>
                <w:szCs w:val="20"/>
                <w:lang w:eastAsia="es-ES"/>
              </w:rPr>
              <w:t>ió</w:t>
            </w:r>
            <w:r w:rsidRPr="00A96B63">
              <w:rPr>
                <w:rFonts w:ascii="Calibri" w:eastAsia="Times New Roman" w:hAnsi="Calibri" w:cs="Calibri"/>
                <w:sz w:val="20"/>
                <w:szCs w:val="20"/>
                <w:lang w:eastAsia="es-ES"/>
              </w:rPr>
              <w:t>n</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d</w:t>
            </w:r>
            <w:r w:rsidRPr="00A96B63">
              <w:rPr>
                <w:rFonts w:ascii="Calibri" w:eastAsia="Times New Roman" w:hAnsi="Calibri" w:cs="Calibri"/>
                <w:sz w:val="20"/>
                <w:szCs w:val="20"/>
                <w:lang w:eastAsia="es-ES"/>
              </w:rPr>
              <w:t>e</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lo</w:t>
            </w:r>
            <w:r w:rsidRPr="00A96B63">
              <w:rPr>
                <w:rFonts w:ascii="Calibri" w:eastAsia="Times New Roman" w:hAnsi="Calibri" w:cs="Calibri"/>
                <w:sz w:val="20"/>
                <w:szCs w:val="20"/>
                <w:lang w:eastAsia="es-ES"/>
              </w:rPr>
              <w:t>s</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usua</w:t>
            </w:r>
            <w:r w:rsidRPr="00A96B63">
              <w:rPr>
                <w:rFonts w:ascii="Calibri" w:eastAsia="Times New Roman" w:hAnsi="Calibri" w:cs="Calibri"/>
                <w:spacing w:val="-2"/>
                <w:sz w:val="20"/>
                <w:szCs w:val="20"/>
                <w:lang w:eastAsia="es-ES"/>
              </w:rPr>
              <w:t>r</w:t>
            </w:r>
            <w:r w:rsidRPr="00A96B63">
              <w:rPr>
                <w:rFonts w:ascii="Calibri" w:eastAsia="Times New Roman" w:hAnsi="Calibri" w:cs="Calibri"/>
                <w:spacing w:val="-1"/>
                <w:sz w:val="20"/>
                <w:szCs w:val="20"/>
                <w:lang w:eastAsia="es-ES"/>
              </w:rPr>
              <w:t>io</w:t>
            </w:r>
            <w:r w:rsidRPr="00A96B63">
              <w:rPr>
                <w:rFonts w:ascii="Calibri" w:eastAsia="Times New Roman" w:hAnsi="Calibri" w:cs="Calibri"/>
                <w:sz w:val="20"/>
                <w:szCs w:val="20"/>
                <w:lang w:eastAsia="es-ES"/>
              </w:rPr>
              <w:t>s</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e</w:t>
            </w:r>
            <w:r w:rsidRPr="00A96B63">
              <w:rPr>
                <w:rFonts w:ascii="Calibri" w:eastAsia="Times New Roman" w:hAnsi="Calibri" w:cs="Calibri"/>
                <w:sz w:val="20"/>
                <w:szCs w:val="20"/>
                <w:lang w:eastAsia="es-ES"/>
              </w:rPr>
              <w:t>n</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1"/>
                <w:sz w:val="20"/>
                <w:szCs w:val="20"/>
                <w:lang w:eastAsia="es-ES"/>
              </w:rPr>
              <w:t>l</w:t>
            </w:r>
            <w:r w:rsidRPr="00A96B63">
              <w:rPr>
                <w:rFonts w:ascii="Calibri" w:eastAsia="Times New Roman" w:hAnsi="Calibri" w:cs="Calibri"/>
                <w:sz w:val="20"/>
                <w:szCs w:val="20"/>
                <w:lang w:eastAsia="es-ES"/>
              </w:rPr>
              <w:t>a</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z w:val="20"/>
                <w:szCs w:val="20"/>
                <w:lang w:eastAsia="es-ES"/>
              </w:rPr>
              <w:t>c</w:t>
            </w:r>
            <w:r w:rsidRPr="00A96B63">
              <w:rPr>
                <w:rFonts w:ascii="Calibri" w:eastAsia="Times New Roman" w:hAnsi="Calibri" w:cs="Calibri"/>
                <w:spacing w:val="-1"/>
                <w:sz w:val="20"/>
                <w:szCs w:val="20"/>
                <w:lang w:eastAsia="es-ES"/>
              </w:rPr>
              <w:t>umplimentació</w:t>
            </w:r>
            <w:r w:rsidRPr="00A96B63">
              <w:rPr>
                <w:rFonts w:ascii="Calibri" w:eastAsia="Times New Roman" w:hAnsi="Calibri" w:cs="Calibri"/>
                <w:sz w:val="20"/>
                <w:szCs w:val="20"/>
                <w:lang w:eastAsia="es-ES"/>
              </w:rPr>
              <w:t>n</w:t>
            </w:r>
            <w:r w:rsidRPr="00A96B63">
              <w:rPr>
                <w:rFonts w:ascii="Calibri" w:eastAsia="Times New Roman" w:hAnsi="Calibri" w:cs="Calibri"/>
                <w:spacing w:val="7"/>
                <w:sz w:val="20"/>
                <w:szCs w:val="20"/>
                <w:lang w:eastAsia="es-ES"/>
              </w:rPr>
              <w:t xml:space="preserve"> </w:t>
            </w:r>
            <w:r w:rsidRPr="00A96B63">
              <w:rPr>
                <w:rFonts w:ascii="Calibri" w:eastAsia="Times New Roman" w:hAnsi="Calibri" w:cs="Calibri"/>
                <w:spacing w:val="-2"/>
                <w:sz w:val="20"/>
                <w:szCs w:val="20"/>
                <w:lang w:eastAsia="es-ES"/>
              </w:rPr>
              <w:t>d</w:t>
            </w:r>
            <w:r w:rsidRPr="00A96B63">
              <w:rPr>
                <w:rFonts w:ascii="Calibri" w:eastAsia="Times New Roman" w:hAnsi="Calibri" w:cs="Calibri"/>
                <w:sz w:val="20"/>
                <w:szCs w:val="20"/>
                <w:lang w:eastAsia="es-ES"/>
              </w:rPr>
              <w:t xml:space="preserve">e </w:t>
            </w:r>
            <w:r w:rsidRPr="00A96B63">
              <w:rPr>
                <w:rFonts w:ascii="Calibri" w:eastAsia="Times New Roman" w:hAnsi="Calibri" w:cs="Calibri"/>
                <w:spacing w:val="-1"/>
                <w:sz w:val="20"/>
                <w:szCs w:val="20"/>
                <w:lang w:eastAsia="es-ES"/>
              </w:rPr>
              <w:t>la</w:t>
            </w:r>
            <w:r w:rsidRPr="00A96B63">
              <w:rPr>
                <w:rFonts w:ascii="Calibri" w:eastAsia="Times New Roman" w:hAnsi="Calibri" w:cs="Calibri"/>
                <w:sz w:val="20"/>
                <w:szCs w:val="20"/>
                <w:lang w:eastAsia="es-ES"/>
              </w:rPr>
              <w:t>s</w:t>
            </w:r>
            <w:r w:rsidRPr="00A96B63">
              <w:rPr>
                <w:rFonts w:ascii="Calibri" w:eastAsia="Times New Roman" w:hAnsi="Calibri" w:cs="Calibri"/>
                <w:spacing w:val="-1"/>
                <w:sz w:val="20"/>
                <w:szCs w:val="20"/>
                <w:lang w:eastAsia="es-ES"/>
              </w:rPr>
              <w:t xml:space="preserve"> enc</w:t>
            </w:r>
            <w:r w:rsidRPr="00A96B63">
              <w:rPr>
                <w:rFonts w:ascii="Calibri" w:eastAsia="Times New Roman" w:hAnsi="Calibri" w:cs="Calibri"/>
                <w:spacing w:val="-2"/>
                <w:sz w:val="20"/>
                <w:szCs w:val="20"/>
                <w:lang w:eastAsia="es-ES"/>
              </w:rPr>
              <w:t>u</w:t>
            </w:r>
            <w:r w:rsidRPr="00A96B63">
              <w:rPr>
                <w:rFonts w:ascii="Calibri" w:eastAsia="Times New Roman" w:hAnsi="Calibri" w:cs="Calibri"/>
                <w:sz w:val="20"/>
                <w:szCs w:val="20"/>
                <w:lang w:eastAsia="es-ES"/>
              </w:rPr>
              <w:t>e</w:t>
            </w:r>
            <w:r w:rsidRPr="00A96B63">
              <w:rPr>
                <w:rFonts w:ascii="Calibri" w:eastAsia="Times New Roman" w:hAnsi="Calibri" w:cs="Calibri"/>
                <w:spacing w:val="-1"/>
                <w:sz w:val="20"/>
                <w:szCs w:val="20"/>
                <w:lang w:eastAsia="es-ES"/>
              </w:rPr>
              <w:t>sta</w:t>
            </w:r>
            <w:r w:rsidRPr="00A96B63">
              <w:rPr>
                <w:rFonts w:ascii="Calibri" w:eastAsia="Times New Roman" w:hAnsi="Calibri" w:cs="Calibri"/>
                <w:sz w:val="20"/>
                <w:szCs w:val="20"/>
                <w:lang w:eastAsia="es-ES"/>
              </w:rPr>
              <w:t>s</w:t>
            </w:r>
            <w:r w:rsidRPr="00A96B63">
              <w:rPr>
                <w:rFonts w:ascii="Calibri" w:eastAsia="Times New Roman" w:hAnsi="Calibri" w:cs="Calibri"/>
                <w:spacing w:val="-1"/>
                <w:sz w:val="20"/>
                <w:szCs w:val="20"/>
                <w:lang w:eastAsia="es-ES"/>
              </w:rPr>
              <w:t xml:space="preserve"> </w:t>
            </w:r>
            <w:r w:rsidRPr="00A96B63">
              <w:rPr>
                <w:rFonts w:ascii="Calibri" w:eastAsia="Times New Roman" w:hAnsi="Calibri" w:cs="Calibri"/>
                <w:spacing w:val="-2"/>
                <w:sz w:val="20"/>
                <w:szCs w:val="20"/>
                <w:lang w:eastAsia="es-ES"/>
              </w:rPr>
              <w:t>g</w:t>
            </w:r>
            <w:r w:rsidRPr="00A96B63">
              <w:rPr>
                <w:rFonts w:ascii="Calibri" w:eastAsia="Times New Roman" w:hAnsi="Calibri" w:cs="Calibri"/>
                <w:spacing w:val="-1"/>
                <w:sz w:val="20"/>
                <w:szCs w:val="20"/>
                <w:lang w:eastAsia="es-ES"/>
              </w:rPr>
              <w:t>eneral</w:t>
            </w:r>
            <w:r w:rsidRPr="00A96B63">
              <w:rPr>
                <w:rFonts w:ascii="Calibri" w:eastAsia="Times New Roman" w:hAnsi="Calibri" w:cs="Calibri"/>
                <w:spacing w:val="-2"/>
                <w:sz w:val="20"/>
                <w:szCs w:val="20"/>
                <w:lang w:eastAsia="es-ES"/>
              </w:rPr>
              <w:t>e</w:t>
            </w:r>
            <w:r w:rsidRPr="00A96B63">
              <w:rPr>
                <w:rFonts w:ascii="Calibri" w:eastAsia="Times New Roman" w:hAnsi="Calibri" w:cs="Calibri"/>
                <w:sz w:val="20"/>
                <w:szCs w:val="20"/>
                <w:lang w:eastAsia="es-ES"/>
              </w:rPr>
              <w:t xml:space="preserve">s </w:t>
            </w:r>
            <w:r w:rsidRPr="00A96B63">
              <w:rPr>
                <w:rFonts w:ascii="Calibri" w:eastAsia="Times New Roman" w:hAnsi="Calibri" w:cs="Calibri"/>
                <w:spacing w:val="-1"/>
                <w:sz w:val="20"/>
                <w:szCs w:val="20"/>
                <w:lang w:eastAsia="es-ES"/>
              </w:rPr>
              <w:t>d</w:t>
            </w:r>
            <w:r w:rsidRPr="00A96B63">
              <w:rPr>
                <w:rFonts w:ascii="Calibri" w:eastAsia="Times New Roman" w:hAnsi="Calibri" w:cs="Calibri"/>
                <w:sz w:val="20"/>
                <w:szCs w:val="20"/>
                <w:lang w:eastAsia="es-ES"/>
              </w:rPr>
              <w:t>e</w:t>
            </w:r>
            <w:r w:rsidRPr="00A96B63">
              <w:rPr>
                <w:rFonts w:ascii="Calibri" w:eastAsia="Times New Roman" w:hAnsi="Calibri" w:cs="Calibri"/>
                <w:spacing w:val="-1"/>
                <w:sz w:val="20"/>
                <w:szCs w:val="20"/>
                <w:lang w:eastAsia="es-ES"/>
              </w:rPr>
              <w:t xml:space="preserve"> us</w:t>
            </w:r>
            <w:r w:rsidRPr="00A96B63">
              <w:rPr>
                <w:rFonts w:ascii="Calibri" w:eastAsia="Times New Roman" w:hAnsi="Calibri" w:cs="Calibri"/>
                <w:spacing w:val="-2"/>
                <w:sz w:val="20"/>
                <w:szCs w:val="20"/>
                <w:lang w:eastAsia="es-ES"/>
              </w:rPr>
              <w:t>u</w:t>
            </w:r>
            <w:r w:rsidRPr="00A96B63">
              <w:rPr>
                <w:rFonts w:ascii="Calibri" w:eastAsia="Times New Roman" w:hAnsi="Calibri" w:cs="Calibri"/>
                <w:sz w:val="20"/>
                <w:szCs w:val="20"/>
                <w:lang w:eastAsia="es-ES"/>
              </w:rPr>
              <w:t>a</w:t>
            </w:r>
            <w:r w:rsidRPr="00A96B63">
              <w:rPr>
                <w:rFonts w:ascii="Calibri" w:eastAsia="Times New Roman" w:hAnsi="Calibri" w:cs="Calibri"/>
                <w:spacing w:val="-1"/>
                <w:sz w:val="20"/>
                <w:szCs w:val="20"/>
                <w:lang w:eastAsia="es-ES"/>
              </w:rPr>
              <w:t>rios.</w:t>
            </w:r>
          </w:p>
        </w:tc>
      </w:tr>
      <w:tr w:rsidR="00473609" w:rsidTr="00473609">
        <w:tc>
          <w:tcPr>
            <w:tcW w:w="9892" w:type="dxa"/>
            <w:gridSpan w:val="2"/>
            <w:tcBorders>
              <w:top w:val="single" w:sz="8" w:space="0" w:color="auto"/>
              <w:left w:val="single" w:sz="4" w:space="0" w:color="auto"/>
              <w:bottom w:val="single" w:sz="4" w:space="0" w:color="auto"/>
              <w:right w:val="single" w:sz="4" w:space="0" w:color="auto"/>
            </w:tcBorders>
          </w:tcPr>
          <w:p w:rsidR="00473609" w:rsidRDefault="00473609" w:rsidP="00473609">
            <w:pPr>
              <w:jc w:val="both"/>
              <w:rPr>
                <w:b/>
              </w:rPr>
            </w:pPr>
            <w:r>
              <w:rPr>
                <w:b/>
              </w:rPr>
              <w:t xml:space="preserve">6.- </w:t>
            </w:r>
            <w:r w:rsidRPr="00F92F30">
              <w:rPr>
                <w:rFonts w:ascii="Calibri" w:eastAsia="Calibri" w:hAnsi="Calibri"/>
                <w:b/>
              </w:rPr>
              <w:t>Seguimiento del grado de valoración e implementación de las propuestas de mejoras de los procesos, riesgos, oportunidades de mejora y observaciones del Informe de Auditoría Externa de Seguimiento  y de los Informes de Auditoría Interna d</w:t>
            </w:r>
            <w:r>
              <w:rPr>
                <w:rFonts w:ascii="Calibri" w:eastAsia="Calibri" w:hAnsi="Calibri"/>
                <w:b/>
              </w:rPr>
              <w:t>e Seguimiento y Auditoría Anual. Ciclo 2014 y en su caso pendientes del ciclo 2013.</w:t>
            </w:r>
          </w:p>
        </w:tc>
      </w:tr>
      <w:tr w:rsidR="00473609" w:rsidTr="00473609">
        <w:tc>
          <w:tcPr>
            <w:tcW w:w="1951" w:type="dxa"/>
            <w:tcBorders>
              <w:top w:val="single" w:sz="4" w:space="0" w:color="auto"/>
              <w:left w:val="single" w:sz="4" w:space="0" w:color="auto"/>
              <w:bottom w:val="single" w:sz="4" w:space="0" w:color="auto"/>
              <w:right w:val="single" w:sz="4" w:space="0" w:color="auto"/>
            </w:tcBorders>
          </w:tcPr>
          <w:p w:rsidR="00473609" w:rsidRPr="008574EB" w:rsidRDefault="00473609" w:rsidP="00473609">
            <w:pPr>
              <w:rPr>
                <w:b/>
              </w:rPr>
            </w:pPr>
            <w:r>
              <w:rPr>
                <w:b/>
              </w:rPr>
              <w:t>Valoración.</w:t>
            </w:r>
          </w:p>
        </w:tc>
        <w:tc>
          <w:tcPr>
            <w:tcW w:w="7941" w:type="dxa"/>
            <w:tcBorders>
              <w:top w:val="single" w:sz="4" w:space="0" w:color="auto"/>
              <w:left w:val="single" w:sz="4" w:space="0" w:color="auto"/>
              <w:bottom w:val="single" w:sz="4" w:space="0" w:color="auto"/>
              <w:right w:val="single" w:sz="4" w:space="0" w:color="auto"/>
            </w:tcBorders>
          </w:tcPr>
          <w:p w:rsidR="00473609" w:rsidRPr="006E5B37" w:rsidRDefault="00473609" w:rsidP="004154C1">
            <w:r>
              <w:t xml:space="preserve">Se </w:t>
            </w:r>
            <w:r w:rsidR="004154C1">
              <w:t>v</w:t>
            </w:r>
            <w:bookmarkStart w:id="0" w:name="_GoBack"/>
            <w:bookmarkEnd w:id="0"/>
            <w:r>
              <w:t>erifica el grado de implementación de las mejoras de los procesos y observaciones de auditoria.</w:t>
            </w:r>
          </w:p>
        </w:tc>
      </w:tr>
      <w:tr w:rsidR="00473609" w:rsidTr="00473609">
        <w:tc>
          <w:tcPr>
            <w:tcW w:w="9892" w:type="dxa"/>
            <w:gridSpan w:val="2"/>
            <w:tcBorders>
              <w:top w:val="single" w:sz="4" w:space="0" w:color="auto"/>
              <w:left w:val="single" w:sz="4" w:space="0" w:color="auto"/>
              <w:bottom w:val="single" w:sz="4" w:space="0" w:color="auto"/>
              <w:right w:val="single" w:sz="4" w:space="0" w:color="auto"/>
            </w:tcBorders>
          </w:tcPr>
          <w:p w:rsidR="00473609" w:rsidRDefault="00473609" w:rsidP="00473609">
            <w:pPr>
              <w:jc w:val="both"/>
              <w:rPr>
                <w:b/>
              </w:rPr>
            </w:pPr>
            <w:r>
              <w:rPr>
                <w:b/>
              </w:rPr>
              <w:t xml:space="preserve"> </w:t>
            </w:r>
            <w:r w:rsidRPr="005D1896">
              <w:rPr>
                <w:rFonts w:ascii="Calibri" w:eastAsia="Calibri" w:hAnsi="Calibri"/>
                <w:b/>
              </w:rPr>
              <w:t>7.</w:t>
            </w:r>
            <w:r>
              <w:rPr>
                <w:rFonts w:ascii="Calibri" w:eastAsia="Calibri" w:hAnsi="Calibri"/>
                <w:b/>
              </w:rPr>
              <w:t xml:space="preserve"> </w:t>
            </w:r>
            <w:r w:rsidRPr="005D1896">
              <w:rPr>
                <w:rFonts w:ascii="Calibri" w:eastAsia="Calibri" w:hAnsi="Calibri"/>
                <w:b/>
              </w:rPr>
              <w:t>Análisis de las Unidades sobre el seguimiento de los  procesos: indicadores, encuestas, quejas y sugerencias, otros sistemas de información y su relación con las mejoras implantadas o a realizar.</w:t>
            </w:r>
          </w:p>
        </w:tc>
      </w:tr>
      <w:tr w:rsidR="00473609" w:rsidTr="00473609">
        <w:tc>
          <w:tcPr>
            <w:tcW w:w="1951" w:type="dxa"/>
            <w:tcBorders>
              <w:top w:val="single" w:sz="4" w:space="0" w:color="auto"/>
              <w:left w:val="single" w:sz="4" w:space="0" w:color="auto"/>
              <w:bottom w:val="single" w:sz="4" w:space="0" w:color="auto"/>
              <w:right w:val="single" w:sz="4" w:space="0" w:color="auto"/>
            </w:tcBorders>
          </w:tcPr>
          <w:p w:rsidR="00473609" w:rsidRPr="008574EB" w:rsidRDefault="00473609" w:rsidP="00473609">
            <w:pPr>
              <w:rPr>
                <w:b/>
              </w:rPr>
            </w:pPr>
            <w:r>
              <w:rPr>
                <w:b/>
              </w:rPr>
              <w:t>Valoración.</w:t>
            </w:r>
          </w:p>
        </w:tc>
        <w:tc>
          <w:tcPr>
            <w:tcW w:w="7941" w:type="dxa"/>
            <w:tcBorders>
              <w:top w:val="single" w:sz="4" w:space="0" w:color="auto"/>
              <w:left w:val="single" w:sz="4" w:space="0" w:color="auto"/>
              <w:bottom w:val="single" w:sz="4" w:space="0" w:color="auto"/>
              <w:right w:val="single" w:sz="4" w:space="0" w:color="auto"/>
            </w:tcBorders>
          </w:tcPr>
          <w:p w:rsidR="00473609" w:rsidRPr="006E5B37" w:rsidRDefault="00B40450" w:rsidP="00B40450">
            <w:r w:rsidRPr="00F343A2">
              <w:t>En base a los resultados que se han ido obteniendo a lo largo del ciclo 2015</w:t>
            </w:r>
            <w:r>
              <w:t xml:space="preserve"> provenientes del sistema de información del SIAG</w:t>
            </w:r>
            <w:r w:rsidR="0093774D">
              <w:t xml:space="preserve"> no se han establecido mejoras.</w:t>
            </w:r>
          </w:p>
        </w:tc>
      </w:tr>
      <w:tr w:rsidR="00473609" w:rsidTr="00473609">
        <w:tc>
          <w:tcPr>
            <w:tcW w:w="1951" w:type="dxa"/>
            <w:tcBorders>
              <w:top w:val="single" w:sz="4" w:space="0" w:color="auto"/>
              <w:left w:val="single" w:sz="4" w:space="0" w:color="auto"/>
              <w:bottom w:val="single" w:sz="4" w:space="0" w:color="auto"/>
              <w:right w:val="single" w:sz="4" w:space="0" w:color="auto"/>
            </w:tcBorders>
          </w:tcPr>
          <w:p w:rsidR="00473609" w:rsidRPr="008574EB" w:rsidRDefault="00473609" w:rsidP="00473609">
            <w:pPr>
              <w:rPr>
                <w:b/>
              </w:rPr>
            </w:pPr>
            <w:r w:rsidRPr="008574EB">
              <w:rPr>
                <w:b/>
              </w:rPr>
              <w:t>Observaciones/</w:t>
            </w:r>
          </w:p>
          <w:p w:rsidR="00473609" w:rsidRPr="008574EB" w:rsidRDefault="00473609" w:rsidP="00473609">
            <w:pPr>
              <w:rPr>
                <w:b/>
              </w:rPr>
            </w:pPr>
            <w:r w:rsidRPr="008574EB">
              <w:rPr>
                <w:b/>
              </w:rPr>
              <w:t>Recomendaciones</w:t>
            </w:r>
          </w:p>
        </w:tc>
        <w:tc>
          <w:tcPr>
            <w:tcW w:w="7941" w:type="dxa"/>
            <w:tcBorders>
              <w:top w:val="single" w:sz="4" w:space="0" w:color="auto"/>
              <w:left w:val="single" w:sz="4" w:space="0" w:color="auto"/>
              <w:bottom w:val="single" w:sz="4" w:space="0" w:color="auto"/>
              <w:right w:val="single" w:sz="4" w:space="0" w:color="auto"/>
            </w:tcBorders>
          </w:tcPr>
          <w:p w:rsidR="00473609" w:rsidRPr="00B40450" w:rsidRDefault="00B40450" w:rsidP="00B40450">
            <w:pPr>
              <w:jc w:val="both"/>
            </w:pPr>
            <w:r>
              <w:t>Se anima a la observación de los resultados del próximo ciclo de gestión para valorar posibles mejoras.</w:t>
            </w:r>
          </w:p>
        </w:tc>
      </w:tr>
    </w:tbl>
    <w:p w:rsidR="00473609" w:rsidRDefault="00473609" w:rsidP="00473609"/>
    <w:p w:rsidR="00473609" w:rsidRDefault="00473609">
      <w:pPr>
        <w:rPr>
          <w:b/>
        </w:rPr>
      </w:pPr>
      <w:r>
        <w:rPr>
          <w:b/>
        </w:rPr>
        <w:br w:type="page"/>
      </w:r>
    </w:p>
    <w:p w:rsidR="00D53AF3" w:rsidRDefault="00D53AF3" w:rsidP="00B0405F">
      <w:pPr>
        <w:spacing w:line="240" w:lineRule="auto"/>
        <w:rPr>
          <w:b/>
        </w:rPr>
      </w:pPr>
    </w:p>
    <w:p w:rsidR="0093353F" w:rsidRDefault="009443A8" w:rsidP="00B0405F">
      <w:pPr>
        <w:spacing w:line="240" w:lineRule="auto"/>
        <w:rPr>
          <w:rFonts w:ascii="Calibri" w:hAnsi="Calibri"/>
          <w:b/>
        </w:rPr>
      </w:pPr>
      <w:r w:rsidRPr="00C7032B">
        <w:rPr>
          <w:b/>
        </w:rPr>
        <w:t>I</w:t>
      </w:r>
      <w:r w:rsidR="0093353F">
        <w:rPr>
          <w:rFonts w:ascii="Calibri" w:hAnsi="Calibri"/>
          <w:b/>
        </w:rPr>
        <w:t>NFORME DETALLADO DE RESULTADOS DE AUDITORÍA</w:t>
      </w:r>
    </w:p>
    <w:p w:rsidR="008E616E" w:rsidRDefault="008E616E" w:rsidP="00B0405F">
      <w:pPr>
        <w:spacing w:line="240" w:lineRule="auto"/>
        <w:rPr>
          <w:rFonts w:ascii="Calibri" w:hAnsi="Calibri"/>
          <w:b/>
        </w:rPr>
      </w:pPr>
    </w:p>
    <w:p w:rsidR="00D53AF3" w:rsidRDefault="00D53AF3" w:rsidP="00B0405F">
      <w:pPr>
        <w:spacing w:line="240" w:lineRule="auto"/>
        <w:rPr>
          <w:rFonts w:ascii="Calibri" w:hAnsi="Calibri"/>
          <w:b/>
        </w:rPr>
      </w:pPr>
    </w:p>
    <w:tbl>
      <w:tblPr>
        <w:tblStyle w:val="Tablaconcuadrcula"/>
        <w:tblW w:w="0" w:type="auto"/>
        <w:tblInd w:w="108" w:type="dxa"/>
        <w:tblLook w:val="04A0" w:firstRow="1" w:lastRow="0" w:firstColumn="1" w:lastColumn="0" w:noHBand="0" w:noVBand="1"/>
      </w:tblPr>
      <w:tblGrid>
        <w:gridCol w:w="2179"/>
        <w:gridCol w:w="1030"/>
        <w:gridCol w:w="208"/>
        <w:gridCol w:w="1615"/>
        <w:gridCol w:w="35"/>
        <w:gridCol w:w="1199"/>
        <w:gridCol w:w="324"/>
        <w:gridCol w:w="3270"/>
      </w:tblGrid>
      <w:tr w:rsidR="0072217E" w:rsidTr="00812635">
        <w:tc>
          <w:tcPr>
            <w:tcW w:w="9860" w:type="dxa"/>
            <w:gridSpan w:val="8"/>
            <w:shd w:val="clear" w:color="auto" w:fill="D9D9D9" w:themeFill="background1" w:themeFillShade="D9"/>
          </w:tcPr>
          <w:p w:rsidR="0072217E" w:rsidRPr="00E1310B" w:rsidRDefault="0072217E" w:rsidP="004435E0">
            <w:pPr>
              <w:jc w:val="center"/>
              <w:rPr>
                <w:b/>
              </w:rPr>
            </w:pPr>
            <w:r w:rsidRPr="00E1310B">
              <w:rPr>
                <w:b/>
              </w:rPr>
              <w:t xml:space="preserve">INFORME DE ACTIVIDADES DE AUDITORÍA </w:t>
            </w:r>
            <w:r>
              <w:rPr>
                <w:b/>
              </w:rPr>
              <w:t>ANUAL</w:t>
            </w:r>
            <w:r w:rsidRPr="00E1310B">
              <w:rPr>
                <w:b/>
              </w:rPr>
              <w:t xml:space="preserve"> 201</w:t>
            </w:r>
            <w:r>
              <w:rPr>
                <w:b/>
              </w:rPr>
              <w:t>5</w:t>
            </w:r>
            <w:r w:rsidRPr="00E1310B">
              <w:rPr>
                <w:b/>
              </w:rPr>
              <w:t>.</w:t>
            </w:r>
          </w:p>
        </w:tc>
      </w:tr>
      <w:tr w:rsidR="00812635" w:rsidTr="00D313FF">
        <w:tc>
          <w:tcPr>
            <w:tcW w:w="3417" w:type="dxa"/>
            <w:gridSpan w:val="3"/>
            <w:shd w:val="clear" w:color="auto" w:fill="D9D9D9" w:themeFill="background1" w:themeFillShade="D9"/>
          </w:tcPr>
          <w:p w:rsidR="0072217E" w:rsidRPr="001B7195" w:rsidRDefault="0072217E" w:rsidP="004435E0">
            <w:pPr>
              <w:rPr>
                <w:b/>
              </w:rPr>
            </w:pPr>
            <w:r w:rsidRPr="001B7195">
              <w:rPr>
                <w:b/>
              </w:rPr>
              <w:t xml:space="preserve">PROCESO CLAVE </w:t>
            </w:r>
          </w:p>
        </w:tc>
        <w:tc>
          <w:tcPr>
            <w:tcW w:w="6443" w:type="dxa"/>
            <w:gridSpan w:val="5"/>
          </w:tcPr>
          <w:p w:rsidR="0072217E" w:rsidRPr="00E95F09" w:rsidRDefault="00E6652A" w:rsidP="004435E0">
            <w:pPr>
              <w:tabs>
                <w:tab w:val="left" w:pos="5475"/>
              </w:tabs>
            </w:pPr>
            <w:r>
              <w:t>PC08. GESTIÓN DE LA PRESTACIÓN DE SERVICIOS DE APOYO CIENTÍFICO/TÉCNICO</w:t>
            </w:r>
          </w:p>
        </w:tc>
      </w:tr>
      <w:tr w:rsidR="00D313FF" w:rsidTr="00E6652A">
        <w:tc>
          <w:tcPr>
            <w:tcW w:w="5032" w:type="dxa"/>
            <w:gridSpan w:val="4"/>
            <w:shd w:val="clear" w:color="auto" w:fill="D9D9D9" w:themeFill="background1" w:themeFillShade="D9"/>
          </w:tcPr>
          <w:p w:rsidR="0072217E" w:rsidRPr="00833C7D" w:rsidRDefault="0072217E" w:rsidP="004435E0">
            <w:pPr>
              <w:rPr>
                <w:b/>
              </w:rPr>
            </w:pPr>
            <w:r>
              <w:rPr>
                <w:b/>
              </w:rPr>
              <w:t xml:space="preserve">FECHA: DÍA Y HORA </w:t>
            </w:r>
            <w:r w:rsidRPr="00833C7D">
              <w:rPr>
                <w:b/>
              </w:rPr>
              <w:t>DE REALIZACIÓN DE LA AUDITORÍA</w:t>
            </w:r>
            <w:r>
              <w:rPr>
                <w:b/>
              </w:rPr>
              <w:t>.</w:t>
            </w:r>
          </w:p>
        </w:tc>
        <w:tc>
          <w:tcPr>
            <w:tcW w:w="4828" w:type="dxa"/>
            <w:gridSpan w:val="4"/>
            <w:shd w:val="clear" w:color="auto" w:fill="FFFFFF" w:themeFill="background1"/>
            <w:vAlign w:val="center"/>
          </w:tcPr>
          <w:p w:rsidR="0072217E" w:rsidRDefault="00E6652A" w:rsidP="00E6652A">
            <w:r>
              <w:t>15/2/2015 – 9:00</w:t>
            </w:r>
          </w:p>
        </w:tc>
      </w:tr>
      <w:tr w:rsidR="00D313FF" w:rsidTr="00D313FF">
        <w:trPr>
          <w:trHeight w:val="1158"/>
        </w:trPr>
        <w:tc>
          <w:tcPr>
            <w:tcW w:w="3209" w:type="dxa"/>
            <w:gridSpan w:val="2"/>
            <w:shd w:val="clear" w:color="auto" w:fill="D9D9D9" w:themeFill="background1" w:themeFillShade="D9"/>
            <w:vAlign w:val="center"/>
          </w:tcPr>
          <w:p w:rsidR="0072217E" w:rsidRPr="00833C7D" w:rsidRDefault="0072217E" w:rsidP="004435E0">
            <w:pPr>
              <w:rPr>
                <w:b/>
              </w:rPr>
            </w:pPr>
            <w:r>
              <w:rPr>
                <w:b/>
              </w:rPr>
              <w:t>EQUIPO AUDITOR DEL PROCESO</w:t>
            </w:r>
            <w:r w:rsidRPr="00833C7D">
              <w:rPr>
                <w:b/>
              </w:rPr>
              <w:t>:</w:t>
            </w:r>
          </w:p>
        </w:tc>
        <w:tc>
          <w:tcPr>
            <w:tcW w:w="6651" w:type="dxa"/>
            <w:gridSpan w:val="6"/>
          </w:tcPr>
          <w:p w:rsidR="0072217E" w:rsidRDefault="0072217E" w:rsidP="004435E0">
            <w:pPr>
              <w:spacing w:after="200"/>
            </w:pPr>
            <w:r>
              <w:t>Auditor</w:t>
            </w:r>
            <w:r w:rsidR="00D53AF3">
              <w:t>/a</w:t>
            </w:r>
            <w:r>
              <w:t xml:space="preserve"> coordinador</w:t>
            </w:r>
            <w:r w:rsidR="00D53AF3">
              <w:t>/a</w:t>
            </w:r>
            <w:r>
              <w:t xml:space="preserve"> de proceso: </w:t>
            </w:r>
            <w:r w:rsidR="00E6652A">
              <w:t>Francisco David Susí García</w:t>
            </w:r>
          </w:p>
          <w:p w:rsidR="0072217E" w:rsidRDefault="0072217E" w:rsidP="004435E0">
            <w:pPr>
              <w:spacing w:after="200"/>
            </w:pPr>
            <w:r>
              <w:t xml:space="preserve">Auditor/es: </w:t>
            </w:r>
            <w:r w:rsidR="00E6652A">
              <w:t>María del Carmen Higueras Herrador</w:t>
            </w:r>
          </w:p>
        </w:tc>
      </w:tr>
      <w:tr w:rsidR="00D313FF" w:rsidTr="000C21C2">
        <w:tc>
          <w:tcPr>
            <w:tcW w:w="2179" w:type="dxa"/>
            <w:shd w:val="clear" w:color="auto" w:fill="D9D9D9" w:themeFill="background1" w:themeFillShade="D9"/>
            <w:vAlign w:val="center"/>
          </w:tcPr>
          <w:p w:rsidR="0072217E" w:rsidRPr="00833C7D" w:rsidRDefault="0072217E" w:rsidP="00D53AF3">
            <w:pPr>
              <w:rPr>
                <w:b/>
              </w:rPr>
            </w:pPr>
            <w:r>
              <w:rPr>
                <w:b/>
              </w:rPr>
              <w:t>UNIDAD:</w:t>
            </w:r>
          </w:p>
        </w:tc>
        <w:tc>
          <w:tcPr>
            <w:tcW w:w="2888" w:type="dxa"/>
            <w:gridSpan w:val="4"/>
          </w:tcPr>
          <w:p w:rsidR="0072217E" w:rsidRPr="009548DA" w:rsidRDefault="00E6652A" w:rsidP="0072217E">
            <w:pPr>
              <w:pStyle w:val="Prrafodelista"/>
              <w:numPr>
                <w:ilvl w:val="0"/>
                <w:numId w:val="20"/>
              </w:numPr>
            </w:pPr>
            <w:r w:rsidRPr="00E6652A">
              <w:rPr>
                <w:sz w:val="20"/>
              </w:rPr>
              <w:t>Unidad funcional de Técnicos de Laboratorio de Apoyo a Departamentos, Institutos y Centros de Investigación</w:t>
            </w:r>
          </w:p>
        </w:tc>
        <w:tc>
          <w:tcPr>
            <w:tcW w:w="1523" w:type="dxa"/>
            <w:gridSpan w:val="2"/>
            <w:shd w:val="clear" w:color="auto" w:fill="D9D9D9" w:themeFill="background1" w:themeFillShade="D9"/>
            <w:vAlign w:val="center"/>
          </w:tcPr>
          <w:p w:rsidR="0072217E" w:rsidRPr="00200960" w:rsidRDefault="0072217E" w:rsidP="00F51AF5">
            <w:pPr>
              <w:rPr>
                <w:b/>
              </w:rPr>
            </w:pPr>
            <w:r w:rsidRPr="00200960">
              <w:rPr>
                <w:b/>
              </w:rPr>
              <w:t>RESPONSABLE</w:t>
            </w:r>
            <w:r w:rsidR="00784659">
              <w:rPr>
                <w:b/>
              </w:rPr>
              <w:t xml:space="preserve"> </w:t>
            </w:r>
          </w:p>
        </w:tc>
        <w:tc>
          <w:tcPr>
            <w:tcW w:w="3270" w:type="dxa"/>
          </w:tcPr>
          <w:p w:rsidR="0072217E" w:rsidRPr="009548DA" w:rsidRDefault="00E6652A" w:rsidP="0072217E">
            <w:pPr>
              <w:pStyle w:val="Prrafodelista"/>
              <w:numPr>
                <w:ilvl w:val="0"/>
                <w:numId w:val="20"/>
              </w:numPr>
            </w:pPr>
            <w:r>
              <w:t>Marina Gómez Torres</w:t>
            </w:r>
          </w:p>
        </w:tc>
      </w:tr>
      <w:tr w:rsidR="00D313FF" w:rsidTr="00D313FF">
        <w:tc>
          <w:tcPr>
            <w:tcW w:w="6266" w:type="dxa"/>
            <w:gridSpan w:val="6"/>
            <w:shd w:val="clear" w:color="auto" w:fill="D9D9D9" w:themeFill="background1" w:themeFillShade="D9"/>
            <w:vAlign w:val="center"/>
          </w:tcPr>
          <w:p w:rsidR="0072217E" w:rsidRPr="00F56513" w:rsidRDefault="0072217E" w:rsidP="004435E0">
            <w:pPr>
              <w:jc w:val="center"/>
              <w:rPr>
                <w:rFonts w:ascii="Calibri" w:eastAsia="Calibri" w:hAnsi="Calibri"/>
              </w:rPr>
            </w:pPr>
            <w:r>
              <w:rPr>
                <w:b/>
              </w:rPr>
              <w:t>OBJETIVOS DE AUDITORÍA</w:t>
            </w:r>
          </w:p>
        </w:tc>
        <w:tc>
          <w:tcPr>
            <w:tcW w:w="3594" w:type="dxa"/>
            <w:gridSpan w:val="2"/>
            <w:shd w:val="clear" w:color="auto" w:fill="D9D9D9" w:themeFill="background1" w:themeFillShade="D9"/>
          </w:tcPr>
          <w:p w:rsidR="0072217E" w:rsidRPr="001F580C" w:rsidRDefault="0072217E" w:rsidP="004435E0">
            <w:pPr>
              <w:jc w:val="center"/>
              <w:rPr>
                <w:rFonts w:ascii="Calibri" w:eastAsia="Calibri" w:hAnsi="Calibri"/>
                <w:b/>
              </w:rPr>
            </w:pPr>
            <w:r w:rsidRPr="001F580C">
              <w:rPr>
                <w:rFonts w:ascii="Calibri" w:eastAsia="Calibri" w:hAnsi="Calibri"/>
                <w:b/>
              </w:rPr>
              <w:t>ALCANCE</w:t>
            </w:r>
          </w:p>
        </w:tc>
      </w:tr>
      <w:tr w:rsidR="00D26390" w:rsidTr="00D313FF">
        <w:tc>
          <w:tcPr>
            <w:tcW w:w="2179" w:type="dxa"/>
            <w:shd w:val="clear" w:color="auto" w:fill="D9D9D9" w:themeFill="background1" w:themeFillShade="D9"/>
            <w:vAlign w:val="center"/>
          </w:tcPr>
          <w:p w:rsidR="00084D39" w:rsidRDefault="00F42233" w:rsidP="00EE6C84">
            <w:pPr>
              <w:rPr>
                <w:b/>
              </w:rPr>
            </w:pPr>
            <w:r>
              <w:rPr>
                <w:b/>
              </w:rPr>
              <w:t xml:space="preserve">1.- </w:t>
            </w:r>
            <w:r w:rsidR="00EE6C84">
              <w:rPr>
                <w:b/>
              </w:rPr>
              <w:t>Verificación de No</w:t>
            </w:r>
            <w:r>
              <w:rPr>
                <w:b/>
              </w:rPr>
              <w:t xml:space="preserve">  Conformidades</w:t>
            </w:r>
          </w:p>
        </w:tc>
        <w:tc>
          <w:tcPr>
            <w:tcW w:w="4087" w:type="dxa"/>
            <w:gridSpan w:val="5"/>
            <w:shd w:val="clear" w:color="auto" w:fill="FFFFFF" w:themeFill="background1"/>
          </w:tcPr>
          <w:p w:rsidR="00084D39" w:rsidRPr="00F56513" w:rsidRDefault="00F42233" w:rsidP="00812635">
            <w:pPr>
              <w:rPr>
                <w:rFonts w:ascii="Calibri" w:eastAsia="Calibri" w:hAnsi="Calibri"/>
              </w:rPr>
            </w:pPr>
            <w:r w:rsidRPr="00F42233">
              <w:rPr>
                <w:rFonts w:ascii="Calibri" w:eastAsia="Calibri" w:hAnsi="Calibri"/>
              </w:rPr>
              <w:t xml:space="preserve">Verificación y cierre de las correcciones, acciones correctivas y acciones preventivas de los planes correspondientes de las No </w:t>
            </w:r>
            <w:r>
              <w:rPr>
                <w:rFonts w:ascii="Calibri" w:eastAsia="Calibri" w:hAnsi="Calibri"/>
              </w:rPr>
              <w:t>C</w:t>
            </w:r>
            <w:r w:rsidRPr="00F42233">
              <w:rPr>
                <w:rFonts w:ascii="Calibri" w:eastAsia="Calibri" w:hAnsi="Calibri"/>
              </w:rPr>
              <w:t xml:space="preserve">onformidades </w:t>
            </w:r>
            <w:r>
              <w:rPr>
                <w:rFonts w:ascii="Calibri" w:eastAsia="Calibri" w:hAnsi="Calibri"/>
              </w:rPr>
              <w:t>de Auditoría  y No Conformidades Internas</w:t>
            </w:r>
            <w:r w:rsidRPr="00F42233">
              <w:rPr>
                <w:rFonts w:ascii="Calibri" w:eastAsia="Calibri" w:hAnsi="Calibri"/>
              </w:rPr>
              <w:t xml:space="preserve"> </w:t>
            </w:r>
            <w:r w:rsidR="00812635">
              <w:rPr>
                <w:rFonts w:ascii="Calibri" w:eastAsia="Calibri" w:hAnsi="Calibri"/>
              </w:rPr>
              <w:t>objeto de verificación en el ciclo 2015</w:t>
            </w:r>
            <w:r w:rsidRPr="00F42233">
              <w:rPr>
                <w:rFonts w:ascii="Calibri" w:eastAsia="Calibri" w:hAnsi="Calibri"/>
              </w:rPr>
              <w:t>.</w:t>
            </w:r>
          </w:p>
        </w:tc>
        <w:tc>
          <w:tcPr>
            <w:tcW w:w="3594" w:type="dxa"/>
            <w:gridSpan w:val="2"/>
            <w:shd w:val="clear" w:color="auto" w:fill="FFFFFF" w:themeFill="background1"/>
          </w:tcPr>
          <w:p w:rsidR="00084D39" w:rsidRPr="00F56513" w:rsidRDefault="00812635" w:rsidP="00F42233">
            <w:pPr>
              <w:rPr>
                <w:rFonts w:ascii="Calibri" w:eastAsia="Calibri" w:hAnsi="Calibri"/>
              </w:rPr>
            </w:pPr>
            <w:r>
              <w:rPr>
                <w:rFonts w:ascii="Calibri" w:eastAsia="Calibri" w:hAnsi="Calibri"/>
              </w:rPr>
              <w:t xml:space="preserve">Servicios/Unidades y </w:t>
            </w:r>
            <w:r w:rsidR="00F42233">
              <w:rPr>
                <w:rFonts w:ascii="Calibri" w:eastAsia="Calibri" w:hAnsi="Calibri"/>
              </w:rPr>
              <w:t>Procesos del SIGC-SUA afectados por las No conformidades objeto de auditoría.</w:t>
            </w:r>
          </w:p>
        </w:tc>
      </w:tr>
      <w:tr w:rsidR="00D313FF" w:rsidTr="00D313FF">
        <w:tc>
          <w:tcPr>
            <w:tcW w:w="2179" w:type="dxa"/>
            <w:shd w:val="clear" w:color="auto" w:fill="D9D9D9" w:themeFill="background1" w:themeFillShade="D9"/>
            <w:vAlign w:val="center"/>
          </w:tcPr>
          <w:p w:rsidR="00F42233" w:rsidRDefault="00F42233" w:rsidP="00F42233">
            <w:pPr>
              <w:rPr>
                <w:b/>
              </w:rPr>
            </w:pPr>
            <w:r>
              <w:rPr>
                <w:b/>
              </w:rPr>
              <w:t>2.- Conformidad de la gestión de los procesos y la prestación de servicios</w:t>
            </w:r>
          </w:p>
        </w:tc>
        <w:tc>
          <w:tcPr>
            <w:tcW w:w="4087" w:type="dxa"/>
            <w:gridSpan w:val="5"/>
            <w:shd w:val="clear" w:color="auto" w:fill="FFFFFF" w:themeFill="background1"/>
          </w:tcPr>
          <w:p w:rsidR="00F42233" w:rsidRPr="00F56513" w:rsidRDefault="00F42233" w:rsidP="004435E0">
            <w:pPr>
              <w:rPr>
                <w:rFonts w:ascii="Calibri" w:eastAsia="Calibri" w:hAnsi="Calibri"/>
              </w:rPr>
            </w:pPr>
            <w:r w:rsidRPr="00F42233">
              <w:rPr>
                <w:rFonts w:ascii="Calibri" w:eastAsia="Calibri" w:hAnsi="Calibri"/>
              </w:rPr>
              <w:t>La conformidad de la gestión de los procesos y la prestación de servicios, a través de la implantación y mantenimiento eficaz del sistema de gestión de la calidad respecto de los requisitos de la Norma de referencia del sistema: UNE-EN-ISO-9001:2008: “Sistemas de Gestión de la Calidad. Requisitos”.</w:t>
            </w:r>
          </w:p>
        </w:tc>
        <w:tc>
          <w:tcPr>
            <w:tcW w:w="3594" w:type="dxa"/>
            <w:gridSpan w:val="2"/>
            <w:shd w:val="clear" w:color="auto" w:fill="FFFFFF" w:themeFill="background1"/>
          </w:tcPr>
          <w:p w:rsidR="00F42233" w:rsidRPr="00F56513" w:rsidRDefault="007C0AF2" w:rsidP="004435E0">
            <w:pPr>
              <w:rPr>
                <w:rFonts w:ascii="Calibri" w:eastAsia="Calibri" w:hAnsi="Calibri"/>
              </w:rPr>
            </w:pPr>
            <w:r w:rsidRPr="007C0AF2">
              <w:rPr>
                <w:rFonts w:ascii="Calibri" w:eastAsia="Calibri" w:hAnsi="Calibri"/>
              </w:rPr>
              <w:t>Todos los procesos del SIGC-SUA, de acuerdo con la  selección previa.</w:t>
            </w:r>
          </w:p>
        </w:tc>
      </w:tr>
      <w:tr w:rsidR="00C91CD3" w:rsidTr="00D313FF">
        <w:tc>
          <w:tcPr>
            <w:tcW w:w="2179" w:type="dxa"/>
            <w:shd w:val="clear" w:color="auto" w:fill="D9D9D9" w:themeFill="background1" w:themeFillShade="D9"/>
            <w:vAlign w:val="center"/>
          </w:tcPr>
          <w:p w:rsidR="0072217E" w:rsidRDefault="00F42233" w:rsidP="004435E0">
            <w:pPr>
              <w:rPr>
                <w:b/>
              </w:rPr>
            </w:pPr>
            <w:r>
              <w:rPr>
                <w:b/>
              </w:rPr>
              <w:t>3</w:t>
            </w:r>
            <w:r w:rsidR="0072217E">
              <w:rPr>
                <w:b/>
              </w:rPr>
              <w:t xml:space="preserve">.- </w:t>
            </w:r>
            <w:r>
              <w:rPr>
                <w:b/>
              </w:rPr>
              <w:t>Indicadores</w:t>
            </w:r>
          </w:p>
          <w:p w:rsidR="0072217E" w:rsidRDefault="0072217E" w:rsidP="004435E0">
            <w:pPr>
              <w:rPr>
                <w:b/>
              </w:rPr>
            </w:pPr>
          </w:p>
        </w:tc>
        <w:tc>
          <w:tcPr>
            <w:tcW w:w="4087" w:type="dxa"/>
            <w:gridSpan w:val="5"/>
            <w:shd w:val="clear" w:color="auto" w:fill="FFFFFF" w:themeFill="background1"/>
          </w:tcPr>
          <w:p w:rsidR="0072217E" w:rsidRPr="00A07471" w:rsidRDefault="00C91CD3" w:rsidP="004435E0">
            <w:r w:rsidRPr="00C91CD3">
              <w:rPr>
                <w:rFonts w:ascii="Calibri" w:eastAsia="Calibri" w:hAnsi="Calibri"/>
              </w:rPr>
              <w:t>La medición y seguimiento de los indicadores de procesos y de compromisos de calidad y el grado de consecución de los objetivos planificados.</w:t>
            </w:r>
          </w:p>
        </w:tc>
        <w:tc>
          <w:tcPr>
            <w:tcW w:w="3594" w:type="dxa"/>
            <w:gridSpan w:val="2"/>
            <w:shd w:val="clear" w:color="auto" w:fill="FFFFFF" w:themeFill="background1"/>
          </w:tcPr>
          <w:p w:rsidR="0072217E" w:rsidRPr="00F56513" w:rsidRDefault="00F347D4" w:rsidP="00F347D4">
            <w:pPr>
              <w:rPr>
                <w:rFonts w:ascii="Calibri" w:eastAsia="Calibri" w:hAnsi="Calibri"/>
              </w:rPr>
            </w:pPr>
            <w:r w:rsidRPr="00F347D4">
              <w:rPr>
                <w:rFonts w:ascii="Calibri" w:eastAsia="Calibri" w:hAnsi="Calibri"/>
              </w:rPr>
              <w:t>Todos los indicadores del SIGC-SUA, especialmente, el grado de consecución de objetivos establecidos.</w:t>
            </w:r>
          </w:p>
        </w:tc>
      </w:tr>
      <w:tr w:rsidR="00C91CD3" w:rsidTr="00D313FF">
        <w:tc>
          <w:tcPr>
            <w:tcW w:w="2179" w:type="dxa"/>
            <w:shd w:val="clear" w:color="auto" w:fill="D9D9D9" w:themeFill="background1" w:themeFillShade="D9"/>
            <w:vAlign w:val="center"/>
          </w:tcPr>
          <w:p w:rsidR="0072217E" w:rsidRDefault="00C91CD3" w:rsidP="00C91CD3">
            <w:pPr>
              <w:rPr>
                <w:b/>
              </w:rPr>
            </w:pPr>
            <w:r>
              <w:rPr>
                <w:b/>
              </w:rPr>
              <w:t>4</w:t>
            </w:r>
            <w:r w:rsidR="0072217E">
              <w:rPr>
                <w:b/>
              </w:rPr>
              <w:t xml:space="preserve">.- </w:t>
            </w:r>
            <w:r w:rsidR="0072217E" w:rsidRPr="0013372C">
              <w:rPr>
                <w:b/>
              </w:rPr>
              <w:t>Q</w:t>
            </w:r>
            <w:r>
              <w:rPr>
                <w:b/>
              </w:rPr>
              <w:t>uejas y Sugerencias.</w:t>
            </w:r>
          </w:p>
          <w:p w:rsidR="00C91CD3" w:rsidRDefault="00126E25" w:rsidP="00C91CD3">
            <w:pPr>
              <w:rPr>
                <w:b/>
              </w:rPr>
            </w:pPr>
            <w:r>
              <w:rPr>
                <w:b/>
              </w:rPr>
              <w:t>- Información directa de clientes</w:t>
            </w:r>
          </w:p>
        </w:tc>
        <w:tc>
          <w:tcPr>
            <w:tcW w:w="4087" w:type="dxa"/>
            <w:gridSpan w:val="5"/>
            <w:shd w:val="clear" w:color="auto" w:fill="FFFFFF" w:themeFill="background1"/>
          </w:tcPr>
          <w:p w:rsidR="0072217E" w:rsidRDefault="0072217E" w:rsidP="00126E25">
            <w:pPr>
              <w:rPr>
                <w:rFonts w:ascii="Calibri" w:eastAsia="Calibri" w:hAnsi="Calibri"/>
              </w:rPr>
            </w:pPr>
            <w:r w:rsidRPr="00F56513">
              <w:rPr>
                <w:rFonts w:ascii="Calibri" w:eastAsia="Calibri" w:hAnsi="Calibri"/>
              </w:rPr>
              <w:t>Verificación de la gestión de quejas y sugerencias,</w:t>
            </w:r>
            <w:r w:rsidR="00126E25">
              <w:rPr>
                <w:rFonts w:ascii="Calibri" w:eastAsia="Calibri" w:hAnsi="Calibri"/>
              </w:rPr>
              <w:t xml:space="preserve"> </w:t>
            </w:r>
            <w:r w:rsidRPr="00F56513">
              <w:rPr>
                <w:rFonts w:ascii="Calibri" w:eastAsia="Calibri" w:hAnsi="Calibri"/>
              </w:rPr>
              <w:t>en su caso realización de acciones de mejora.</w:t>
            </w:r>
          </w:p>
          <w:p w:rsidR="00126E25" w:rsidRPr="00A07471" w:rsidRDefault="00B61FEE" w:rsidP="00126E25">
            <w:r>
              <w:t>Verificación de la gestión de la información directa de clientes y mejoras derivadas.</w:t>
            </w:r>
          </w:p>
        </w:tc>
        <w:tc>
          <w:tcPr>
            <w:tcW w:w="3594" w:type="dxa"/>
            <w:gridSpan w:val="2"/>
            <w:shd w:val="clear" w:color="auto" w:fill="FFFFFF" w:themeFill="background1"/>
          </w:tcPr>
          <w:p w:rsidR="0072217E" w:rsidRPr="00A07471" w:rsidRDefault="00F347D4" w:rsidP="004435E0">
            <w:pPr>
              <w:rPr>
                <w:rFonts w:ascii="Calibri" w:eastAsia="Calibri" w:hAnsi="Calibri"/>
              </w:rPr>
            </w:pPr>
            <w:r w:rsidRPr="00F347D4">
              <w:rPr>
                <w:rFonts w:ascii="Calibri" w:eastAsia="Calibri" w:hAnsi="Calibri"/>
              </w:rPr>
              <w:t>Todos las Unidades con participación en SIGC-SUA, de acuerdo con información procedente del SIAG y las Unidades.</w:t>
            </w:r>
          </w:p>
        </w:tc>
      </w:tr>
      <w:tr w:rsidR="00D313FF" w:rsidTr="00D313FF">
        <w:tc>
          <w:tcPr>
            <w:tcW w:w="2179" w:type="dxa"/>
            <w:tcBorders>
              <w:bottom w:val="single" w:sz="4" w:space="0" w:color="auto"/>
            </w:tcBorders>
            <w:shd w:val="clear" w:color="auto" w:fill="D9D9D9" w:themeFill="background1" w:themeFillShade="D9"/>
            <w:vAlign w:val="center"/>
          </w:tcPr>
          <w:p w:rsidR="0072217E" w:rsidRPr="00547E78" w:rsidRDefault="00513A46" w:rsidP="00513A46">
            <w:pPr>
              <w:rPr>
                <w:b/>
              </w:rPr>
            </w:pPr>
            <w:r w:rsidRPr="00547E78">
              <w:rPr>
                <w:b/>
              </w:rPr>
              <w:t>5.- Encuestas</w:t>
            </w:r>
          </w:p>
        </w:tc>
        <w:tc>
          <w:tcPr>
            <w:tcW w:w="4087" w:type="dxa"/>
            <w:gridSpan w:val="5"/>
            <w:tcBorders>
              <w:bottom w:val="single" w:sz="4" w:space="0" w:color="auto"/>
            </w:tcBorders>
            <w:shd w:val="clear" w:color="auto" w:fill="FFFFFF" w:themeFill="background1"/>
          </w:tcPr>
          <w:p w:rsidR="0072217E" w:rsidRPr="00A07471" w:rsidRDefault="00547E78" w:rsidP="004435E0">
            <w:r w:rsidRPr="00547E78">
              <w:t>Verificación de la realización de las encuestas correspondientes a los grupos de interés del proceso, así como, a fecha de auditoría, del seguimiento de los índices de participación y resultados obtenidos; en su caso, realización de acciones de mejora necesarias.</w:t>
            </w:r>
          </w:p>
        </w:tc>
        <w:tc>
          <w:tcPr>
            <w:tcW w:w="3594" w:type="dxa"/>
            <w:gridSpan w:val="2"/>
            <w:tcBorders>
              <w:bottom w:val="single" w:sz="4" w:space="0" w:color="auto"/>
            </w:tcBorders>
            <w:shd w:val="clear" w:color="auto" w:fill="FFFFFF" w:themeFill="background1"/>
          </w:tcPr>
          <w:p w:rsidR="0072217E" w:rsidRPr="00A07471" w:rsidRDefault="00547E78" w:rsidP="002C2D4D">
            <w:pPr>
              <w:rPr>
                <w:rFonts w:ascii="Calibri" w:hAnsi="Calibri"/>
              </w:rPr>
            </w:pPr>
            <w:r>
              <w:rPr>
                <w:rFonts w:ascii="Calibri" w:hAnsi="Calibri"/>
              </w:rPr>
              <w:t>Tod</w:t>
            </w:r>
            <w:r w:rsidR="002C2D4D">
              <w:rPr>
                <w:rFonts w:ascii="Calibri" w:hAnsi="Calibri"/>
              </w:rPr>
              <w:t>o</w:t>
            </w:r>
            <w:r>
              <w:rPr>
                <w:rFonts w:ascii="Calibri" w:hAnsi="Calibri"/>
              </w:rPr>
              <w:t xml:space="preserve"> el sistema de encuestas del SIGC-SUA: encuestas de satisfacción general y post-servicio.</w:t>
            </w:r>
          </w:p>
        </w:tc>
      </w:tr>
      <w:tr w:rsidR="00812635" w:rsidTr="00D313FF">
        <w:tc>
          <w:tcPr>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217E" w:rsidRPr="0013372C" w:rsidRDefault="00547E78" w:rsidP="004435E0">
            <w:pPr>
              <w:rPr>
                <w:b/>
              </w:rPr>
            </w:pPr>
            <w:r>
              <w:rPr>
                <w:b/>
              </w:rPr>
              <w:t xml:space="preserve">6.- Propuestas de mejora de procesos, riesgos, oportunidades de </w:t>
            </w:r>
            <w:r>
              <w:rPr>
                <w:b/>
              </w:rPr>
              <w:lastRenderedPageBreak/>
              <w:t>mejora y  observaciones de Auditorías.</w:t>
            </w:r>
          </w:p>
        </w:tc>
        <w:tc>
          <w:tcPr>
            <w:tcW w:w="40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2217E" w:rsidRPr="00A07471" w:rsidRDefault="00547E78" w:rsidP="004435E0">
            <w:r w:rsidRPr="00547E78">
              <w:lastRenderedPageBreak/>
              <w:t xml:space="preserve">Seguimiento del grado de valoración e implementación de las propuestas de mejoras de los procesos, riesgos, oportunidades de mejora y observaciones </w:t>
            </w:r>
            <w:r w:rsidRPr="00547E78">
              <w:lastRenderedPageBreak/>
              <w:t>del Informe de Auditoría Externa de Seguimiento  y de los Informes de Auditoría Interna de Seguimiento y Auditoría Anual.</w:t>
            </w:r>
          </w:p>
        </w:tc>
        <w:tc>
          <w:tcPr>
            <w:tcW w:w="3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2217E" w:rsidRPr="00A07471" w:rsidRDefault="004E2DA7" w:rsidP="004E2DA7">
            <w:pPr>
              <w:rPr>
                <w:rFonts w:ascii="Calibri" w:hAnsi="Calibri"/>
              </w:rPr>
            </w:pPr>
            <w:r w:rsidRPr="004E2DA7">
              <w:rPr>
                <w:rFonts w:ascii="Calibri" w:hAnsi="Calibri"/>
              </w:rPr>
              <w:lastRenderedPageBreak/>
              <w:t>Todos las Unidades con participación en SIGC-SUA, según las correspondientes  fichas de indicaciones.</w:t>
            </w:r>
          </w:p>
        </w:tc>
      </w:tr>
      <w:tr w:rsidR="00C91CD3" w:rsidTr="00D313FF">
        <w:tc>
          <w:tcPr>
            <w:tcW w:w="2179" w:type="dxa"/>
            <w:tcBorders>
              <w:top w:val="single" w:sz="4" w:space="0" w:color="auto"/>
            </w:tcBorders>
            <w:shd w:val="clear" w:color="auto" w:fill="D9D9D9" w:themeFill="background1" w:themeFillShade="D9"/>
            <w:vAlign w:val="center"/>
          </w:tcPr>
          <w:p w:rsidR="0072217E" w:rsidRPr="0013372C" w:rsidRDefault="00ED2B18" w:rsidP="00D26390">
            <w:pPr>
              <w:rPr>
                <w:b/>
              </w:rPr>
            </w:pPr>
            <w:r>
              <w:rPr>
                <w:b/>
              </w:rPr>
              <w:lastRenderedPageBreak/>
              <w:t>7.- Análisis de resultados.</w:t>
            </w:r>
          </w:p>
        </w:tc>
        <w:tc>
          <w:tcPr>
            <w:tcW w:w="4087" w:type="dxa"/>
            <w:gridSpan w:val="5"/>
            <w:tcBorders>
              <w:top w:val="single" w:sz="4" w:space="0" w:color="auto"/>
            </w:tcBorders>
            <w:shd w:val="clear" w:color="auto" w:fill="FFFFFF" w:themeFill="background1"/>
          </w:tcPr>
          <w:p w:rsidR="0072217E" w:rsidRPr="001F580C" w:rsidRDefault="00ED2B18" w:rsidP="004435E0">
            <w:pPr>
              <w:rPr>
                <w:rFonts w:ascii="Calibri" w:eastAsia="Calibri" w:hAnsi="Calibri"/>
              </w:rPr>
            </w:pPr>
            <w:r w:rsidRPr="004F1F4F">
              <w:rPr>
                <w:rFonts w:ascii="Calibri" w:hAnsi="Calibri"/>
              </w:rPr>
              <w:t>Análisis de las Unidades sobre el seguimiento de los  procesos: indicadores, encuestas, quejas y sugerencias, otros sistemas de información y su relación con las mejoras implantadas o a realizar.</w:t>
            </w:r>
          </w:p>
        </w:tc>
        <w:tc>
          <w:tcPr>
            <w:tcW w:w="3594" w:type="dxa"/>
            <w:gridSpan w:val="2"/>
            <w:tcBorders>
              <w:top w:val="single" w:sz="4" w:space="0" w:color="auto"/>
            </w:tcBorders>
            <w:shd w:val="clear" w:color="auto" w:fill="FFFFFF" w:themeFill="background1"/>
          </w:tcPr>
          <w:p w:rsidR="0072217E" w:rsidRPr="00A07471" w:rsidRDefault="0050375F" w:rsidP="004435E0">
            <w:pPr>
              <w:rPr>
                <w:rFonts w:ascii="Calibri" w:hAnsi="Calibri"/>
              </w:rPr>
            </w:pPr>
            <w:r w:rsidRPr="0050375F">
              <w:rPr>
                <w:rFonts w:ascii="Calibri" w:hAnsi="Calibri"/>
              </w:rPr>
              <w:t>Todos las Unidades con participación en el SIGC-SUA.</w:t>
            </w:r>
          </w:p>
        </w:tc>
      </w:tr>
    </w:tbl>
    <w:p w:rsidR="0072217E" w:rsidRDefault="0072217E" w:rsidP="00B0405F">
      <w:pPr>
        <w:spacing w:line="240" w:lineRule="auto"/>
        <w:rPr>
          <w:rFonts w:ascii="Calibri" w:hAnsi="Calibri"/>
          <w:b/>
        </w:rPr>
      </w:pPr>
    </w:p>
    <w:p w:rsidR="00C7032B" w:rsidRDefault="00C7032B" w:rsidP="00B0405F">
      <w:pPr>
        <w:spacing w:line="240" w:lineRule="auto"/>
        <w:rPr>
          <w:rFonts w:ascii="Calibri" w:hAnsi="Calibri"/>
          <w:b/>
        </w:rPr>
      </w:pPr>
    </w:p>
    <w:p w:rsidR="00C7032B" w:rsidRDefault="00E6652A" w:rsidP="00B0405F">
      <w:pPr>
        <w:spacing w:line="240" w:lineRule="auto"/>
        <w:rPr>
          <w:rFonts w:ascii="Calibri" w:hAnsi="Calibri"/>
          <w:b/>
        </w:rPr>
      </w:pPr>
      <w:r>
        <w:rPr>
          <w:rFonts w:ascii="Calibri" w:hAnsi="Calibri"/>
          <w:b/>
        </w:rPr>
        <w:t>Relación de personas entrevistadas en la visita de auditoría:</w:t>
      </w:r>
    </w:p>
    <w:p w:rsidR="00E6652A" w:rsidRDefault="00E6652A" w:rsidP="00B0405F">
      <w:pPr>
        <w:spacing w:line="240" w:lineRule="auto"/>
        <w:rPr>
          <w:rFonts w:ascii="Calibri" w:hAnsi="Calibri"/>
          <w:b/>
        </w:rPr>
      </w:pPr>
    </w:p>
    <w:p w:rsidR="00E6652A" w:rsidRPr="00130E18" w:rsidRDefault="00E6652A" w:rsidP="00E6652A">
      <w:pPr>
        <w:pStyle w:val="Prrafodelista"/>
        <w:numPr>
          <w:ilvl w:val="0"/>
          <w:numId w:val="22"/>
        </w:numPr>
        <w:spacing w:line="240" w:lineRule="auto"/>
        <w:rPr>
          <w:rFonts w:ascii="Calibri" w:hAnsi="Calibri"/>
        </w:rPr>
      </w:pPr>
      <w:r>
        <w:rPr>
          <w:rFonts w:ascii="Calibri" w:hAnsi="Calibri"/>
          <w:b/>
        </w:rPr>
        <w:t xml:space="preserve"> </w:t>
      </w:r>
      <w:r w:rsidR="00130E18" w:rsidRPr="00130E18">
        <w:rPr>
          <w:rFonts w:ascii="Calibri" w:hAnsi="Calibri"/>
        </w:rPr>
        <w:t>Marina Gómez Torres</w:t>
      </w:r>
    </w:p>
    <w:p w:rsidR="00E6652A" w:rsidRDefault="00E6652A" w:rsidP="00E6652A">
      <w:pPr>
        <w:pStyle w:val="Prrafodelista"/>
        <w:numPr>
          <w:ilvl w:val="0"/>
          <w:numId w:val="22"/>
        </w:numPr>
        <w:spacing w:line="240" w:lineRule="auto"/>
        <w:rPr>
          <w:rFonts w:ascii="Calibri" w:hAnsi="Calibri"/>
        </w:rPr>
      </w:pPr>
      <w:r w:rsidRPr="00130E18">
        <w:rPr>
          <w:rFonts w:ascii="Calibri" w:hAnsi="Calibri"/>
        </w:rPr>
        <w:t xml:space="preserve"> </w:t>
      </w:r>
      <w:r w:rsidR="00130E18">
        <w:rPr>
          <w:rFonts w:ascii="Calibri" w:hAnsi="Calibri"/>
        </w:rPr>
        <w:t>Mª Dolores dela Casa Martínez</w:t>
      </w:r>
    </w:p>
    <w:p w:rsidR="00C7032B" w:rsidRPr="00473609" w:rsidRDefault="00C50673" w:rsidP="00473609">
      <w:pPr>
        <w:pStyle w:val="Prrafodelista"/>
        <w:numPr>
          <w:ilvl w:val="0"/>
          <w:numId w:val="22"/>
        </w:numPr>
        <w:spacing w:line="240" w:lineRule="auto"/>
        <w:rPr>
          <w:rFonts w:ascii="Calibri" w:hAnsi="Calibri"/>
          <w:b/>
        </w:rPr>
      </w:pPr>
      <w:r w:rsidRPr="00473609">
        <w:rPr>
          <w:rFonts w:ascii="Calibri" w:hAnsi="Calibri"/>
        </w:rPr>
        <w:t xml:space="preserve"> </w:t>
      </w:r>
      <w:r w:rsidR="00130E18" w:rsidRPr="00473609">
        <w:rPr>
          <w:rFonts w:ascii="Calibri" w:hAnsi="Calibri"/>
        </w:rPr>
        <w:t xml:space="preserve">Luis Miguel </w:t>
      </w:r>
      <w:proofErr w:type="spellStart"/>
      <w:r w:rsidR="00130E18" w:rsidRPr="00473609">
        <w:rPr>
          <w:rFonts w:ascii="Calibri" w:hAnsi="Calibri"/>
        </w:rPr>
        <w:t>Lietor</w:t>
      </w:r>
      <w:proofErr w:type="spellEnd"/>
      <w:r w:rsidR="00130E18" w:rsidRPr="00473609">
        <w:rPr>
          <w:rFonts w:ascii="Calibri" w:hAnsi="Calibri"/>
        </w:rPr>
        <w:t xml:space="preserve"> Fuentes</w:t>
      </w:r>
      <w:r w:rsidR="00E6652A" w:rsidRPr="00473609">
        <w:rPr>
          <w:rFonts w:ascii="Calibri" w:hAnsi="Calibri"/>
        </w:rPr>
        <w:t xml:space="preserve"> </w:t>
      </w:r>
    </w:p>
    <w:p w:rsidR="00C7032B" w:rsidRDefault="00C7032B" w:rsidP="00B0405F">
      <w:pPr>
        <w:spacing w:line="240" w:lineRule="auto"/>
        <w:rPr>
          <w:rFonts w:ascii="Calibri" w:hAnsi="Calibri"/>
          <w:b/>
        </w:rPr>
      </w:pPr>
    </w:p>
    <w:p w:rsidR="00C7032B" w:rsidRDefault="00C7032B" w:rsidP="00B0405F">
      <w:pPr>
        <w:spacing w:line="240" w:lineRule="auto"/>
        <w:rPr>
          <w:rFonts w:ascii="Calibri" w:hAnsi="Calibri"/>
          <w:b/>
        </w:rPr>
      </w:pPr>
    </w:p>
    <w:p w:rsidR="008E616E" w:rsidRPr="007373EB" w:rsidRDefault="008E616E" w:rsidP="00B0405F">
      <w:pPr>
        <w:spacing w:line="240" w:lineRule="auto"/>
        <w:rPr>
          <w:b/>
        </w:rPr>
      </w:pPr>
      <w:r w:rsidRPr="007373EB">
        <w:rPr>
          <w:b/>
        </w:rPr>
        <w:t xml:space="preserve">1. </w:t>
      </w:r>
      <w:r w:rsidR="00377DC8">
        <w:rPr>
          <w:b/>
        </w:rPr>
        <w:t>V</w:t>
      </w:r>
      <w:r w:rsidR="00377DC8" w:rsidRPr="007373EB">
        <w:rPr>
          <w:b/>
        </w:rPr>
        <w:t xml:space="preserve">erificación de </w:t>
      </w:r>
      <w:r w:rsidR="00377DC8">
        <w:rPr>
          <w:b/>
        </w:rPr>
        <w:t>No</w:t>
      </w:r>
      <w:r w:rsidR="00377DC8" w:rsidRPr="007373EB">
        <w:rPr>
          <w:b/>
        </w:rPr>
        <w:t xml:space="preserve"> </w:t>
      </w:r>
      <w:r w:rsidR="00377DC8">
        <w:rPr>
          <w:b/>
        </w:rPr>
        <w:t>C</w:t>
      </w:r>
      <w:r w:rsidR="00377DC8" w:rsidRPr="007373EB">
        <w:rPr>
          <w:b/>
        </w:rPr>
        <w:t>onformidades</w:t>
      </w:r>
    </w:p>
    <w:p w:rsidR="0093353F" w:rsidRPr="0093353F" w:rsidRDefault="0093353F" w:rsidP="00B0405F">
      <w:pPr>
        <w:spacing w:line="240" w:lineRule="auto"/>
        <w:jc w:val="both"/>
        <w:rPr>
          <w:b/>
          <w:bCs/>
        </w:rPr>
      </w:pPr>
    </w:p>
    <w:p w:rsidR="00767F3B" w:rsidRPr="00E6652A" w:rsidRDefault="00E6652A" w:rsidP="00B0405F">
      <w:pPr>
        <w:spacing w:line="240" w:lineRule="auto"/>
        <w:rPr>
          <w:i/>
        </w:rPr>
      </w:pPr>
      <w:r w:rsidRPr="00E6652A">
        <w:rPr>
          <w:b/>
          <w:bCs/>
          <w:i/>
        </w:rPr>
        <w:t>No procede</w:t>
      </w:r>
    </w:p>
    <w:p w:rsidR="00B0405F" w:rsidRDefault="00B0405F" w:rsidP="00B0405F">
      <w:pPr>
        <w:spacing w:line="240" w:lineRule="auto"/>
      </w:pPr>
    </w:p>
    <w:p w:rsidR="008E616E" w:rsidRDefault="008E616E" w:rsidP="00B0405F">
      <w:pPr>
        <w:spacing w:line="240" w:lineRule="auto"/>
        <w:rPr>
          <w:b/>
        </w:rPr>
      </w:pPr>
      <w:r>
        <w:rPr>
          <w:b/>
        </w:rPr>
        <w:t>2</w:t>
      </w:r>
      <w:r w:rsidRPr="007373EB">
        <w:rPr>
          <w:b/>
        </w:rPr>
        <w:t xml:space="preserve">. </w:t>
      </w:r>
      <w:r w:rsidR="00377DC8">
        <w:rPr>
          <w:b/>
        </w:rPr>
        <w:t>Conformidad de la gestión de los procesos y la prestación de servicios</w:t>
      </w:r>
    </w:p>
    <w:p w:rsidR="00377DC8" w:rsidRPr="007373EB" w:rsidRDefault="00377DC8" w:rsidP="00B0405F">
      <w:pPr>
        <w:spacing w:line="240" w:lineRule="auto"/>
        <w:rPr>
          <w:b/>
        </w:rPr>
      </w:pPr>
    </w:p>
    <w:tbl>
      <w:tblPr>
        <w:tblStyle w:val="Tablaconcuadrcula"/>
        <w:tblW w:w="9889" w:type="dxa"/>
        <w:tblLayout w:type="fixed"/>
        <w:tblLook w:val="04A0" w:firstRow="1" w:lastRow="0" w:firstColumn="1" w:lastColumn="0" w:noHBand="0" w:noVBand="1"/>
      </w:tblPr>
      <w:tblGrid>
        <w:gridCol w:w="2376"/>
        <w:gridCol w:w="7513"/>
      </w:tblGrid>
      <w:tr w:rsidR="006D6896" w:rsidTr="00EA6F94">
        <w:tc>
          <w:tcPr>
            <w:tcW w:w="9889" w:type="dxa"/>
            <w:gridSpan w:val="2"/>
            <w:tcBorders>
              <w:bottom w:val="single" w:sz="4" w:space="0" w:color="auto"/>
            </w:tcBorders>
            <w:shd w:val="clear" w:color="auto" w:fill="F2F2F2" w:themeFill="background1" w:themeFillShade="F2"/>
          </w:tcPr>
          <w:p w:rsidR="006D6896" w:rsidRPr="006E0748" w:rsidRDefault="006D6896" w:rsidP="00B0405F">
            <w:pPr>
              <w:jc w:val="center"/>
            </w:pPr>
            <w:r>
              <w:rPr>
                <w:rFonts w:ascii="Calibri" w:hAnsi="Calibri"/>
                <w:b/>
              </w:rPr>
              <w:t>ACTIVIDADES DE AUDITORÍA</w:t>
            </w:r>
            <w:r w:rsidRPr="006E0748">
              <w:rPr>
                <w:rFonts w:ascii="Calibri" w:hAnsi="Calibri"/>
                <w:b/>
              </w:rPr>
              <w:t>.</w:t>
            </w:r>
          </w:p>
        </w:tc>
      </w:tr>
      <w:tr w:rsidR="006D6896" w:rsidRPr="009C3E57" w:rsidTr="00EA6F94">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6D6896" w:rsidRPr="006E0748" w:rsidRDefault="006D6896" w:rsidP="00B0405F">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6D6896" w:rsidRPr="00E6652A" w:rsidRDefault="00E6652A" w:rsidP="00B0405F">
            <w:pPr>
              <w:rPr>
                <w:b/>
              </w:rPr>
            </w:pPr>
            <w:r w:rsidRPr="00E6652A">
              <w:rPr>
                <w:bCs/>
                <w:lang w:val="es-ES_tradnl"/>
              </w:rPr>
              <w:t>PC08. GESTIÓN DE LA PRESTACIÓN DE SEVICIOS DE APOYO CIENTÍFICO/TÉCNICO</w:t>
            </w:r>
          </w:p>
        </w:tc>
      </w:tr>
      <w:tr w:rsidR="006D6896" w:rsidRPr="006E0748" w:rsidTr="00EA6F94">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6D6896" w:rsidRPr="006E0748" w:rsidRDefault="006D6896" w:rsidP="00B0405F">
            <w:r>
              <w:rPr>
                <w:b/>
              </w:rPr>
              <w:t>RESPONSABLE/S AUDITADO/S</w:t>
            </w:r>
          </w:p>
        </w:tc>
        <w:tc>
          <w:tcPr>
            <w:tcW w:w="7513" w:type="dxa"/>
            <w:tcBorders>
              <w:left w:val="single" w:sz="4" w:space="0" w:color="auto"/>
              <w:bottom w:val="single" w:sz="4" w:space="0" w:color="auto"/>
            </w:tcBorders>
            <w:vAlign w:val="center"/>
          </w:tcPr>
          <w:p w:rsidR="00525072" w:rsidRPr="00E6652A" w:rsidRDefault="00E6652A" w:rsidP="00B0405F">
            <w:pPr>
              <w:numPr>
                <w:ilvl w:val="0"/>
                <w:numId w:val="4"/>
              </w:numPr>
              <w:rPr>
                <w:sz w:val="20"/>
                <w:szCs w:val="20"/>
              </w:rPr>
            </w:pPr>
            <w:r w:rsidRPr="00E6652A">
              <w:rPr>
                <w:bCs/>
                <w:lang w:val="es-ES_tradnl"/>
              </w:rPr>
              <w:t>UNIDAD FUNCIONAL DE TÉCNICOS DE LABORATORIO DE APOYO A DEPARTAMENTOS, INSTITUTOS Y CENTROS DE INVESTIGACIÓN</w:t>
            </w:r>
          </w:p>
        </w:tc>
      </w:tr>
      <w:tr w:rsidR="006D6896" w:rsidRPr="006E0748" w:rsidTr="00B472CF">
        <w:trPr>
          <w:trHeight w:val="345"/>
        </w:trPr>
        <w:tc>
          <w:tcPr>
            <w:tcW w:w="2376" w:type="dxa"/>
            <w:shd w:val="clear" w:color="auto" w:fill="F2F2F2" w:themeFill="background1" w:themeFillShade="F2"/>
            <w:vAlign w:val="center"/>
          </w:tcPr>
          <w:p w:rsidR="006D6896" w:rsidRPr="006E0748" w:rsidRDefault="006D6896" w:rsidP="00B0405F">
            <w:r>
              <w:rPr>
                <w:b/>
              </w:rPr>
              <w:t>AUDITORES</w:t>
            </w:r>
          </w:p>
        </w:tc>
        <w:tc>
          <w:tcPr>
            <w:tcW w:w="7513" w:type="dxa"/>
            <w:vAlign w:val="center"/>
          </w:tcPr>
          <w:p w:rsidR="00525072" w:rsidRPr="00E6652A" w:rsidRDefault="00E6652A" w:rsidP="00B0405F">
            <w:pPr>
              <w:numPr>
                <w:ilvl w:val="0"/>
                <w:numId w:val="4"/>
              </w:numPr>
            </w:pPr>
            <w:r w:rsidRPr="00E6652A">
              <w:rPr>
                <w:szCs w:val="20"/>
              </w:rPr>
              <w:t>MARIA DEL CARMEN HIGUERAS HERRADOR</w:t>
            </w:r>
          </w:p>
        </w:tc>
      </w:tr>
    </w:tbl>
    <w:p w:rsidR="006D6896" w:rsidRDefault="006D6896" w:rsidP="00B0405F">
      <w:pPr>
        <w:spacing w:line="240" w:lineRule="auto"/>
      </w:pPr>
    </w:p>
    <w:p w:rsidR="00B97F47" w:rsidRDefault="00B97F47" w:rsidP="00B0405F">
      <w:pPr>
        <w:spacing w:line="240" w:lineRule="auto"/>
      </w:pPr>
    </w:p>
    <w:p w:rsidR="00B97F47" w:rsidRPr="004B6142" w:rsidRDefault="00B97F47" w:rsidP="00B0405F">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p>
    <w:p w:rsidR="004B7534" w:rsidRDefault="00353EC4" w:rsidP="00130E18">
      <w:pPr>
        <w:pBdr>
          <w:top w:val="single" w:sz="4" w:space="1" w:color="auto"/>
          <w:left w:val="single" w:sz="4" w:space="3" w:color="auto"/>
          <w:bottom w:val="single" w:sz="4" w:space="1" w:color="auto"/>
          <w:right w:val="single" w:sz="4" w:space="4" w:color="auto"/>
        </w:pBdr>
        <w:spacing w:line="240" w:lineRule="auto"/>
        <w:rPr>
          <w:color w:val="365F91" w:themeColor="accent1" w:themeShade="BF"/>
        </w:rPr>
      </w:pPr>
      <w:r w:rsidRPr="00353EC4">
        <w:rPr>
          <w:color w:val="365F91" w:themeColor="accent1" w:themeShade="BF"/>
        </w:rPr>
        <w:t xml:space="preserve"> </w:t>
      </w:r>
    </w:p>
    <w:p w:rsidR="00130E18" w:rsidRPr="00AF162B" w:rsidRDefault="00130E18" w:rsidP="00130E18">
      <w:pPr>
        <w:pBdr>
          <w:top w:val="single" w:sz="4" w:space="1" w:color="auto"/>
          <w:left w:val="single" w:sz="4" w:space="3" w:color="auto"/>
          <w:bottom w:val="single" w:sz="4" w:space="1" w:color="auto"/>
          <w:right w:val="single" w:sz="4" w:space="4" w:color="auto"/>
        </w:pBdr>
        <w:spacing w:line="240" w:lineRule="auto"/>
        <w:jc w:val="both"/>
      </w:pPr>
      <w:r w:rsidRPr="00DE7B14">
        <w:t>E</w:t>
      </w:r>
      <w:r>
        <w:t>l</w:t>
      </w:r>
      <w:r w:rsidRPr="00DE7B14">
        <w:t xml:space="preserve"> proceso </w:t>
      </w:r>
      <w:r w:rsidRPr="00AF162B">
        <w:t>de auditoría se inicia a las 09:00 horas del día 15/02/2015 con la reunión inicial en las dependencias de la Unidad Funcional de Técnicos de Laboratorio de Apoyo a Departamentos, Institutos y Centros de Investigación. Concretamente, en las dependencias de los laboratorios del Departamento de Química Física y Analítica (A2-220): posteriormente se visitan los laboratorios de los Departamentos de Ingeniería Qu</w:t>
      </w:r>
      <w:r>
        <w:t>ímica, Ambiental</w:t>
      </w:r>
      <w:r w:rsidRPr="00AF162B">
        <w:t xml:space="preserve"> y de los Materiales </w:t>
      </w:r>
      <w:r>
        <w:t>(A2-022) y d</w:t>
      </w:r>
      <w:r w:rsidRPr="00AF162B">
        <w:t>e Ingeniería Eléctrica</w:t>
      </w:r>
      <w:r>
        <w:t xml:space="preserve"> (A3- 272)</w:t>
      </w:r>
      <w:r w:rsidRPr="00AF162B">
        <w:t>.</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rPr>
          <w:u w:val="single"/>
        </w:rPr>
      </w:pPr>
    </w:p>
    <w:p w:rsidR="00130E18" w:rsidRPr="00BB6BF1" w:rsidRDefault="00130E18" w:rsidP="00130E18">
      <w:pPr>
        <w:pBdr>
          <w:top w:val="single" w:sz="4" w:space="1" w:color="auto"/>
          <w:left w:val="single" w:sz="4" w:space="3" w:color="auto"/>
          <w:bottom w:val="single" w:sz="4" w:space="1" w:color="auto"/>
          <w:right w:val="single" w:sz="4" w:space="4" w:color="auto"/>
        </w:pBdr>
        <w:spacing w:line="240" w:lineRule="auto"/>
        <w:rPr>
          <w:u w:val="single"/>
        </w:rPr>
      </w:pP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130E18" w:rsidRPr="00BB6BF1" w:rsidRDefault="00130E18" w:rsidP="00130E18">
      <w:pPr>
        <w:pBdr>
          <w:top w:val="single" w:sz="4" w:space="1" w:color="auto"/>
          <w:left w:val="single" w:sz="4" w:space="3" w:color="auto"/>
          <w:bottom w:val="single" w:sz="4" w:space="1" w:color="auto"/>
          <w:right w:val="single" w:sz="4" w:space="4" w:color="auto"/>
        </w:pBdr>
        <w:spacing w:line="240" w:lineRule="auto"/>
        <w:rPr>
          <w:u w:val="single"/>
        </w:rPr>
      </w:pPr>
    </w:p>
    <w:p w:rsidR="00130E18" w:rsidRPr="00DE7B14" w:rsidRDefault="00130E18" w:rsidP="00130E18">
      <w:pPr>
        <w:pBdr>
          <w:top w:val="single" w:sz="4" w:space="1" w:color="auto"/>
          <w:left w:val="single" w:sz="4" w:space="3" w:color="auto"/>
          <w:bottom w:val="single" w:sz="4" w:space="1" w:color="auto"/>
          <w:right w:val="single" w:sz="4" w:space="4" w:color="auto"/>
        </w:pBdr>
        <w:spacing w:line="240" w:lineRule="auto"/>
      </w:pPr>
      <w:r w:rsidRPr="00DE7B14">
        <w:t>Se realiza verificación del proceso a través de los registros y expedientes asociados.</w:t>
      </w:r>
    </w:p>
    <w:p w:rsidR="00130E18" w:rsidRPr="00DE7B14"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Pr="00DE7B14" w:rsidRDefault="00130E18" w:rsidP="00130E18">
      <w:pPr>
        <w:pBdr>
          <w:top w:val="single" w:sz="4" w:space="1" w:color="auto"/>
          <w:left w:val="single" w:sz="4" w:space="3" w:color="auto"/>
          <w:bottom w:val="single" w:sz="4" w:space="1" w:color="auto"/>
          <w:right w:val="single" w:sz="4" w:space="4" w:color="auto"/>
        </w:pBdr>
        <w:spacing w:line="240" w:lineRule="auto"/>
      </w:pPr>
      <w:r w:rsidRPr="00DE7B14">
        <w:t>DEPARTAMENTO DE INGENIERÍA QUÍMICA, AMBIENTAL Y MATERIALES</w:t>
      </w:r>
    </w:p>
    <w:p w:rsidR="00130E18" w:rsidRPr="00DE7B14"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 xml:space="preserve">Se realiza trazabilidad del proceso Solicitudes de Apoyo a la Docencia revisando el expediente nº 76127 en el que se solicitan las prácticas docentes de la asignatura “Fundamentos de Tecnología Medioambiental” para el primer cuatrimestre del curso 2015/2016. </w:t>
      </w:r>
    </w:p>
    <w:p w:rsidR="00473609" w:rsidRDefault="00473609"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 xml:space="preserve">Se verifican los siguientes registros asociados al proceso: </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rsidRPr="005352C6">
        <w:rPr>
          <w:i/>
        </w:rPr>
        <w:lastRenderedPageBreak/>
        <w:t>- R</w:t>
      </w:r>
      <w:proofErr w:type="gramStart"/>
      <w:r w:rsidRPr="005352C6">
        <w:rPr>
          <w:i/>
        </w:rPr>
        <w:t>.[</w:t>
      </w:r>
      <w:proofErr w:type="gramEnd"/>
      <w:r w:rsidRPr="005352C6">
        <w:rPr>
          <w:i/>
        </w:rPr>
        <w:t>PC 08.2]-09 Registro de solicitudes electrónicas de servicios de apoyo a la docencia / investigación o por otros medios</w:t>
      </w:r>
      <w:r>
        <w:t>. La fecha de solicitud es 14/07/2015. Se comprueba correo electrónico de entrada de la solicitud.</w:t>
      </w:r>
    </w:p>
    <w:p w:rsidR="00473609" w:rsidRDefault="00473609"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rsidRPr="005352C6">
        <w:rPr>
          <w:i/>
        </w:rPr>
        <w:t>- R</w:t>
      </w:r>
      <w:proofErr w:type="gramStart"/>
      <w:r w:rsidRPr="005352C6">
        <w:rPr>
          <w:i/>
        </w:rPr>
        <w:t>.[</w:t>
      </w:r>
      <w:proofErr w:type="gramEnd"/>
      <w:r w:rsidRPr="005352C6">
        <w:rPr>
          <w:i/>
        </w:rPr>
        <w:t>PC 08.2]-11 Base de datos propia: datos y seguimiento de la actividad</w:t>
      </w:r>
      <w:r>
        <w:t>. En el expediente se puede comprobar que la fecha solicitada de finalización es 26/11/2015 y la fecha de finalización del servicio es 06/10/2015. Se verifica la comunicación al interesado de la finalización del servicio con un correo electrónico de fecha 06/10/2015.</w:t>
      </w:r>
    </w:p>
    <w:p w:rsidR="00473609" w:rsidRDefault="00473609"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 R</w:t>
      </w:r>
      <w:proofErr w:type="gramStart"/>
      <w:r>
        <w:t>.[</w:t>
      </w:r>
      <w:proofErr w:type="gramEnd"/>
      <w:r>
        <w:t xml:space="preserve">PC 08.2]-07 </w:t>
      </w:r>
      <w:r w:rsidRPr="005352C6">
        <w:rPr>
          <w:i/>
        </w:rPr>
        <w:t>Programación de actividades prácticas docentes e investigadoras. Catálogo de equipos e instrumentación científico‐técnica</w:t>
      </w:r>
      <w:r>
        <w:t>. Se verifica la existencia del histórico de horarios, constatando que se prepararon 20 prácticas, la primera de ellas el 22/10/2015, y que 8 de ellas necesitaron apoyo presencial del técnico. Asimismo, al tratarse de una actividad programada se verifica la conexión con el PC 03 “Gestión de espacios” efectuando la correspondiente reserva de laboratorios con nº de expediente 76133.</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De otro lado, se realiza la trazabilidad del proceso revisando el expediente nº 76555, Resolución práctica de consulta. En este expediente se verifican las siguientes fechas: Fecha de solicitud: 22/09/2015; Fecha solicitada de finalización: no existe y Fecha de finalización: 22/09/2015. Se constata que no existe ninguna incidencia asociada a este expediente.</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 xml:space="preserve">Se verifica la trazabilidad del proceso de los expedientes seleccionados a través de la gestión en el programa PETRUS, no obstante, se comprueba que la mayor parte de las solicitudes de asistencia técnica no se gestionan a través de esta plataforma al no hacer uso de ella los usuarios; estas solicitudes se gestionan a través del correo electrónico por lo que no queda constancia de registros, incidencias, medición de indicadores,… de las asistencias técnicas realizadas a través de esta vía de entrada.  </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LABORATORIO DE INGENIERÍA ELÉCTRICA</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 xml:space="preserve"> Se realiza trazabilidad del proceso Solicitudes de Apoyo a la Docencia revisando el expediente nº 78560 en el que se solicita la instalación la instalación de un analizador en la zona de control de máquinas del laboratorio de máquinas eléctricas para el 22/10/2015; se verifica que no existe ninguna incidencia asociada al expediente. </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 xml:space="preserve">De otro lado, se  examina el expediente 79071 relacionado con la gestión de incidencias. Se verifica que la incidencia tiene entrada en la plataforma PETRUS el 17/12/2015, que se trata de un equipo de fuente de alimentación </w:t>
      </w:r>
      <w:proofErr w:type="spellStart"/>
      <w:r>
        <w:t>lucas</w:t>
      </w:r>
      <w:proofErr w:type="spellEnd"/>
      <w:r>
        <w:t xml:space="preserve"> </w:t>
      </w:r>
      <w:proofErr w:type="spellStart"/>
      <w:r>
        <w:t>nulle</w:t>
      </w:r>
      <w:proofErr w:type="spellEnd"/>
      <w:r>
        <w:t xml:space="preserve"> SO3212-SU que no da salida de tensión continua y que se asocia a un mantenimiento correctivo externo.</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r>
        <w:t>Se comprueba que el equipo sigue en reparación; sin embargo, se recoge como fecha de finalización 15/02/2016.</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rPr>
          <w:b/>
          <w:sz w:val="20"/>
          <w:szCs w:val="20"/>
        </w:rPr>
      </w:pPr>
      <w:r w:rsidRPr="004B6142">
        <w:rPr>
          <w:b/>
          <w:sz w:val="20"/>
          <w:szCs w:val="20"/>
        </w:rPr>
        <w:t>PROPUESTA OBSERVACIÓN</w:t>
      </w:r>
    </w:p>
    <w:p w:rsidR="00130E18"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Pr="00BE4F7A" w:rsidRDefault="00130E18" w:rsidP="00130E18">
      <w:pPr>
        <w:pBdr>
          <w:top w:val="single" w:sz="4" w:space="1" w:color="auto"/>
          <w:left w:val="single" w:sz="4" w:space="3" w:color="auto"/>
          <w:bottom w:val="single" w:sz="4" w:space="1" w:color="auto"/>
          <w:right w:val="single" w:sz="4" w:space="4" w:color="auto"/>
        </w:pBdr>
        <w:spacing w:line="240" w:lineRule="auto"/>
      </w:pPr>
      <w:r w:rsidRPr="00BE4F7A">
        <w:t>Se verifica la  conformidad de la gestión del proceso, así como de los registros asociados y su relación con otros procesos. Sin embargo se realiza las siguientes indicaciones:</w:t>
      </w:r>
    </w:p>
    <w:p w:rsidR="00130E18" w:rsidRPr="00BE4F7A"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Pr="00BE4F7A" w:rsidRDefault="00130E18" w:rsidP="00130E18">
      <w:pPr>
        <w:pBdr>
          <w:top w:val="single" w:sz="4" w:space="1" w:color="auto"/>
          <w:left w:val="single" w:sz="4" w:space="3" w:color="auto"/>
          <w:bottom w:val="single" w:sz="4" w:space="1" w:color="auto"/>
          <w:right w:val="single" w:sz="4" w:space="4" w:color="auto"/>
        </w:pBdr>
        <w:spacing w:line="240" w:lineRule="auto"/>
      </w:pPr>
      <w:r w:rsidRPr="00BE4F7A">
        <w:t>1. Existen solicitudes de asistencia técnica que no quedan registradas en la plataforma PETRUS, a través de la cual se verifican registros, datos de indicadores, incidencias,…, por lo que se recomienda que se establezcan los mecanismos necesarios para que todas las solicitudes tengan entrada a través de la plataforma para que, entre otras cuestiones, quede constancia de la verdadera ejecución del proceso.</w:t>
      </w:r>
    </w:p>
    <w:p w:rsidR="00130E18" w:rsidRPr="00BE4F7A" w:rsidRDefault="00130E18" w:rsidP="00130E18">
      <w:pPr>
        <w:pBdr>
          <w:top w:val="single" w:sz="4" w:space="1" w:color="auto"/>
          <w:left w:val="single" w:sz="4" w:space="3" w:color="auto"/>
          <w:bottom w:val="single" w:sz="4" w:space="1" w:color="auto"/>
          <w:right w:val="single" w:sz="4" w:space="4" w:color="auto"/>
        </w:pBdr>
        <w:spacing w:line="240" w:lineRule="auto"/>
      </w:pPr>
    </w:p>
    <w:p w:rsidR="00130E18" w:rsidRDefault="00130E18" w:rsidP="00130E18">
      <w:pPr>
        <w:pBdr>
          <w:top w:val="single" w:sz="4" w:space="1" w:color="auto"/>
          <w:left w:val="single" w:sz="4" w:space="3" w:color="auto"/>
          <w:bottom w:val="single" w:sz="4" w:space="1" w:color="auto"/>
          <w:right w:val="single" w:sz="4" w:space="4" w:color="auto"/>
        </w:pBdr>
        <w:spacing w:line="240" w:lineRule="auto"/>
        <w:rPr>
          <w:color w:val="C00000"/>
        </w:rPr>
      </w:pPr>
      <w:r w:rsidRPr="00BE4F7A">
        <w:t xml:space="preserve">2.  </w:t>
      </w:r>
      <w:r w:rsidRPr="00BE4F7A">
        <w:rPr>
          <w:rFonts w:ascii="Calibri" w:eastAsia="Times New Roman" w:hAnsi="Calibri" w:cs="Times New Roman"/>
          <w:lang w:eastAsia="es-ES"/>
        </w:rPr>
        <w:t>Se recomienda establecer los mecanismos necesarios para dejar constancia en todas las incidencias de si ésta se ha solucionado</w:t>
      </w:r>
      <w:r>
        <w:rPr>
          <w:rFonts w:ascii="Calibri" w:eastAsia="Times New Roman" w:hAnsi="Calibri" w:cs="Times New Roman"/>
          <w:color w:val="000000"/>
          <w:lang w:eastAsia="es-ES"/>
        </w:rPr>
        <w:t xml:space="preserve">/desechado,... indicando su fecha de finalización, como así se viene recomendando en anteriores auditorías. </w:t>
      </w:r>
      <w:r>
        <w:rPr>
          <w:color w:val="C00000"/>
        </w:rPr>
        <w:t xml:space="preserve">  </w:t>
      </w:r>
    </w:p>
    <w:p w:rsidR="00FF4EB0" w:rsidRDefault="00FF4EB0" w:rsidP="00B0405F">
      <w:pPr>
        <w:spacing w:line="240" w:lineRule="auto"/>
        <w:rPr>
          <w:b/>
        </w:rPr>
      </w:pPr>
    </w:p>
    <w:p w:rsidR="00377DC8" w:rsidRDefault="00284402" w:rsidP="00B0405F">
      <w:pPr>
        <w:spacing w:line="240" w:lineRule="auto"/>
        <w:rPr>
          <w:b/>
        </w:rPr>
      </w:pPr>
      <w:r>
        <w:rPr>
          <w:b/>
        </w:rPr>
        <w:t>3</w:t>
      </w:r>
      <w:r w:rsidRPr="007373EB">
        <w:rPr>
          <w:b/>
        </w:rPr>
        <w:t>. I</w:t>
      </w:r>
      <w:r w:rsidR="00377DC8">
        <w:rPr>
          <w:b/>
        </w:rPr>
        <w:t>ndicadores</w:t>
      </w:r>
    </w:p>
    <w:p w:rsidR="001F5975" w:rsidRDefault="001F5975" w:rsidP="00B0405F">
      <w:pPr>
        <w:spacing w:line="240" w:lineRule="auto"/>
      </w:pPr>
    </w:p>
    <w:tbl>
      <w:tblPr>
        <w:tblStyle w:val="Tablaconcuadrcula"/>
        <w:tblpPr w:leftFromText="141" w:rightFromText="141" w:vertAnchor="text" w:horzAnchor="margin" w:tblpXSpec="center" w:tblpY="116"/>
        <w:tblW w:w="10740" w:type="dxa"/>
        <w:tblLayout w:type="fixed"/>
        <w:tblLook w:val="04A0" w:firstRow="1" w:lastRow="0" w:firstColumn="1" w:lastColumn="0" w:noHBand="0" w:noVBand="1"/>
      </w:tblPr>
      <w:tblGrid>
        <w:gridCol w:w="2518"/>
        <w:gridCol w:w="851"/>
        <w:gridCol w:w="1134"/>
        <w:gridCol w:w="567"/>
        <w:gridCol w:w="708"/>
        <w:gridCol w:w="4962"/>
      </w:tblGrid>
      <w:tr w:rsidR="00B72E78" w:rsidTr="00B72E78">
        <w:trPr>
          <w:trHeight w:val="318"/>
        </w:trPr>
        <w:tc>
          <w:tcPr>
            <w:tcW w:w="2518" w:type="dxa"/>
            <w:vMerge w:val="restart"/>
            <w:shd w:val="clear" w:color="auto" w:fill="D9D9D9" w:themeFill="background1" w:themeFillShade="D9"/>
            <w:vAlign w:val="center"/>
          </w:tcPr>
          <w:p w:rsidR="00B72E78" w:rsidRPr="00847DD5" w:rsidRDefault="00B72E78" w:rsidP="00B72E78">
            <w:pPr>
              <w:rPr>
                <w:b/>
                <w:sz w:val="20"/>
                <w:szCs w:val="20"/>
              </w:rPr>
            </w:pPr>
            <w:r w:rsidRPr="00847DD5">
              <w:rPr>
                <w:b/>
                <w:sz w:val="20"/>
                <w:szCs w:val="20"/>
              </w:rPr>
              <w:t>Indicador</w:t>
            </w:r>
          </w:p>
        </w:tc>
        <w:tc>
          <w:tcPr>
            <w:tcW w:w="851" w:type="dxa"/>
            <w:vMerge w:val="restart"/>
            <w:vAlign w:val="center"/>
          </w:tcPr>
          <w:p w:rsidR="00B72E78" w:rsidRPr="00204D21" w:rsidRDefault="00B72E78" w:rsidP="00B72E78">
            <w:pPr>
              <w:jc w:val="center"/>
              <w:rPr>
                <w:sz w:val="18"/>
                <w:szCs w:val="18"/>
              </w:rPr>
            </w:pPr>
            <w:r w:rsidRPr="00204D21">
              <w:rPr>
                <w:sz w:val="18"/>
                <w:szCs w:val="18"/>
              </w:rPr>
              <w:t>Objetivo</w:t>
            </w:r>
          </w:p>
        </w:tc>
        <w:tc>
          <w:tcPr>
            <w:tcW w:w="1134" w:type="dxa"/>
            <w:vMerge w:val="restart"/>
            <w:vAlign w:val="center"/>
          </w:tcPr>
          <w:p w:rsidR="00B72E78" w:rsidRPr="00204D21" w:rsidRDefault="00B72E78" w:rsidP="00B72E78">
            <w:pPr>
              <w:jc w:val="center"/>
              <w:rPr>
                <w:sz w:val="18"/>
                <w:szCs w:val="18"/>
              </w:rPr>
            </w:pPr>
            <w:r w:rsidRPr="00204D21">
              <w:rPr>
                <w:sz w:val="18"/>
                <w:szCs w:val="18"/>
              </w:rPr>
              <w:t>Periodicidad de medición</w:t>
            </w:r>
          </w:p>
        </w:tc>
        <w:tc>
          <w:tcPr>
            <w:tcW w:w="1275" w:type="dxa"/>
            <w:gridSpan w:val="2"/>
            <w:vAlign w:val="center"/>
          </w:tcPr>
          <w:p w:rsidR="00B72E78" w:rsidRPr="00204D21" w:rsidRDefault="00B72E78" w:rsidP="00B72E78">
            <w:pPr>
              <w:jc w:val="center"/>
              <w:rPr>
                <w:sz w:val="18"/>
                <w:szCs w:val="18"/>
              </w:rPr>
            </w:pPr>
            <w:r w:rsidRPr="00204D21">
              <w:rPr>
                <w:sz w:val="18"/>
                <w:szCs w:val="18"/>
              </w:rPr>
              <w:t>Cumpli</w:t>
            </w:r>
            <w:r>
              <w:rPr>
                <w:sz w:val="18"/>
                <w:szCs w:val="18"/>
              </w:rPr>
              <w:t>do</w:t>
            </w:r>
          </w:p>
        </w:tc>
        <w:tc>
          <w:tcPr>
            <w:tcW w:w="4962" w:type="dxa"/>
            <w:vMerge w:val="restart"/>
            <w:vAlign w:val="center"/>
          </w:tcPr>
          <w:p w:rsidR="00B72E78" w:rsidRDefault="00B72E78" w:rsidP="00B72E78">
            <w:pPr>
              <w:jc w:val="center"/>
              <w:rPr>
                <w:sz w:val="18"/>
                <w:szCs w:val="18"/>
              </w:rPr>
            </w:pPr>
            <w:r>
              <w:rPr>
                <w:sz w:val="18"/>
                <w:szCs w:val="18"/>
              </w:rPr>
              <w:t>Observaciones</w:t>
            </w:r>
            <w:r w:rsidR="00377DC8">
              <w:rPr>
                <w:sz w:val="18"/>
                <w:szCs w:val="18"/>
              </w:rPr>
              <w:t>:</w:t>
            </w:r>
          </w:p>
          <w:p w:rsidR="00B72E78" w:rsidRPr="00204D21" w:rsidRDefault="00377DC8" w:rsidP="00377DC8">
            <w:pPr>
              <w:jc w:val="center"/>
              <w:rPr>
                <w:sz w:val="18"/>
                <w:szCs w:val="18"/>
              </w:rPr>
            </w:pPr>
            <w:r>
              <w:rPr>
                <w:sz w:val="18"/>
                <w:szCs w:val="18"/>
              </w:rPr>
              <w:t>No</w:t>
            </w:r>
            <w:r w:rsidR="00B72E78">
              <w:rPr>
                <w:sz w:val="18"/>
                <w:szCs w:val="18"/>
              </w:rPr>
              <w:t xml:space="preserve"> medición, A</w:t>
            </w:r>
            <w:r w:rsidR="00B72E78" w:rsidRPr="001141CB">
              <w:rPr>
                <w:sz w:val="18"/>
                <w:szCs w:val="18"/>
              </w:rPr>
              <w:t xml:space="preserve">nálisis de causas </w:t>
            </w:r>
            <w:r>
              <w:rPr>
                <w:sz w:val="18"/>
                <w:szCs w:val="18"/>
              </w:rPr>
              <w:t xml:space="preserve">en caso </w:t>
            </w:r>
            <w:r w:rsidR="00B72E78" w:rsidRPr="001141CB">
              <w:rPr>
                <w:sz w:val="18"/>
                <w:szCs w:val="18"/>
              </w:rPr>
              <w:t>de incumplimiento</w:t>
            </w:r>
            <w:r w:rsidR="00530859">
              <w:rPr>
                <w:sz w:val="18"/>
                <w:szCs w:val="18"/>
              </w:rPr>
              <w:t>, compromiso de calidad asociado incumplido.</w:t>
            </w:r>
          </w:p>
        </w:tc>
      </w:tr>
      <w:tr w:rsidR="00B72E78" w:rsidTr="00DE6E7C">
        <w:trPr>
          <w:trHeight w:val="285"/>
        </w:trPr>
        <w:tc>
          <w:tcPr>
            <w:tcW w:w="2518" w:type="dxa"/>
            <w:vMerge/>
            <w:shd w:val="clear" w:color="auto" w:fill="D9D9D9" w:themeFill="background1" w:themeFillShade="D9"/>
            <w:vAlign w:val="center"/>
          </w:tcPr>
          <w:p w:rsidR="00B72E78" w:rsidRPr="00847DD5" w:rsidRDefault="00B72E78" w:rsidP="00B72E78">
            <w:pPr>
              <w:rPr>
                <w:b/>
                <w:sz w:val="20"/>
                <w:szCs w:val="20"/>
              </w:rPr>
            </w:pPr>
          </w:p>
        </w:tc>
        <w:tc>
          <w:tcPr>
            <w:tcW w:w="851" w:type="dxa"/>
            <w:vMerge/>
            <w:vAlign w:val="center"/>
          </w:tcPr>
          <w:p w:rsidR="00B72E78" w:rsidRPr="00204D21" w:rsidRDefault="00B72E78" w:rsidP="00B72E78">
            <w:pPr>
              <w:jc w:val="center"/>
              <w:rPr>
                <w:sz w:val="18"/>
                <w:szCs w:val="18"/>
              </w:rPr>
            </w:pPr>
          </w:p>
        </w:tc>
        <w:tc>
          <w:tcPr>
            <w:tcW w:w="1134" w:type="dxa"/>
            <w:vMerge/>
            <w:vAlign w:val="center"/>
          </w:tcPr>
          <w:p w:rsidR="00B72E78" w:rsidRPr="00204D21" w:rsidRDefault="00B72E78" w:rsidP="00B72E78">
            <w:pPr>
              <w:jc w:val="center"/>
              <w:rPr>
                <w:sz w:val="18"/>
                <w:szCs w:val="18"/>
              </w:rPr>
            </w:pPr>
          </w:p>
        </w:tc>
        <w:tc>
          <w:tcPr>
            <w:tcW w:w="567" w:type="dxa"/>
            <w:vAlign w:val="center"/>
          </w:tcPr>
          <w:p w:rsidR="00B72E78" w:rsidRPr="00204D21" w:rsidRDefault="00B72E78" w:rsidP="00B72E78">
            <w:pPr>
              <w:jc w:val="center"/>
              <w:rPr>
                <w:sz w:val="18"/>
                <w:szCs w:val="18"/>
              </w:rPr>
            </w:pPr>
            <w:r>
              <w:rPr>
                <w:sz w:val="18"/>
                <w:szCs w:val="18"/>
              </w:rPr>
              <w:t>Si</w:t>
            </w:r>
          </w:p>
        </w:tc>
        <w:tc>
          <w:tcPr>
            <w:tcW w:w="708" w:type="dxa"/>
            <w:vAlign w:val="center"/>
          </w:tcPr>
          <w:p w:rsidR="00B72E78" w:rsidRPr="00204D21" w:rsidRDefault="00B72E78" w:rsidP="00B72E78">
            <w:pPr>
              <w:jc w:val="center"/>
              <w:rPr>
                <w:sz w:val="18"/>
                <w:szCs w:val="18"/>
              </w:rPr>
            </w:pPr>
            <w:r w:rsidRPr="00204D21">
              <w:rPr>
                <w:sz w:val="18"/>
                <w:szCs w:val="18"/>
              </w:rPr>
              <w:t>No</w:t>
            </w:r>
          </w:p>
        </w:tc>
        <w:tc>
          <w:tcPr>
            <w:tcW w:w="4962" w:type="dxa"/>
            <w:vMerge/>
            <w:vAlign w:val="center"/>
          </w:tcPr>
          <w:p w:rsidR="00B72E78" w:rsidRPr="00204D21"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08.2]-04 Apoyo técnico presencial (prácticas docentes).</w:t>
            </w:r>
          </w:p>
        </w:tc>
        <w:tc>
          <w:tcPr>
            <w:tcW w:w="851" w:type="dxa"/>
            <w:vAlign w:val="center"/>
          </w:tcPr>
          <w:p w:rsidR="00B72E78" w:rsidRPr="00AA19EC" w:rsidRDefault="00E6652A" w:rsidP="00B72E78">
            <w:pPr>
              <w:jc w:val="center"/>
              <w:rPr>
                <w:sz w:val="18"/>
                <w:szCs w:val="18"/>
              </w:rPr>
            </w:pPr>
            <w:r>
              <w:rPr>
                <w:sz w:val="18"/>
                <w:szCs w:val="18"/>
              </w:rPr>
              <w:t>No procede</w:t>
            </w:r>
          </w:p>
        </w:tc>
        <w:tc>
          <w:tcPr>
            <w:tcW w:w="1134" w:type="dxa"/>
            <w:vAlign w:val="center"/>
          </w:tcPr>
          <w:p w:rsidR="00B72E78" w:rsidRPr="00AA19EC" w:rsidRDefault="00E6652A" w:rsidP="00B72E78">
            <w:pPr>
              <w:jc w:val="center"/>
              <w:rPr>
                <w:sz w:val="18"/>
                <w:szCs w:val="18"/>
              </w:rPr>
            </w:pPr>
            <w:r>
              <w:rPr>
                <w:sz w:val="18"/>
                <w:szCs w:val="18"/>
              </w:rPr>
              <w:t>Anual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AA19EC" w:rsidRDefault="00B72E78" w:rsidP="00B72E78">
            <w:pPr>
              <w:jc w:val="center"/>
              <w:rPr>
                <w:sz w:val="18"/>
                <w:szCs w:val="18"/>
              </w:rPr>
            </w:pPr>
          </w:p>
        </w:tc>
        <w:tc>
          <w:tcPr>
            <w:tcW w:w="4962" w:type="dxa"/>
          </w:tcPr>
          <w:p w:rsidR="00B72E78" w:rsidRPr="00AA19EC"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08.2]-05 Porcentaje de solicitudes de Apoyo Científico-Técnico cerradas con resolución Técnica de consulta en un plazo no superior a 7 días laborables desde la solicitud.</w:t>
            </w:r>
          </w:p>
        </w:tc>
        <w:tc>
          <w:tcPr>
            <w:tcW w:w="851" w:type="dxa"/>
            <w:vAlign w:val="center"/>
          </w:tcPr>
          <w:p w:rsidR="00B72E78" w:rsidRPr="00AA19EC" w:rsidRDefault="00E6652A" w:rsidP="00B72E78">
            <w:pPr>
              <w:jc w:val="center"/>
              <w:rPr>
                <w:sz w:val="18"/>
                <w:szCs w:val="18"/>
              </w:rPr>
            </w:pPr>
            <w:r>
              <w:rPr>
                <w:sz w:val="18"/>
                <w:szCs w:val="18"/>
              </w:rPr>
              <w:t>&gt;=95%</w:t>
            </w:r>
          </w:p>
        </w:tc>
        <w:tc>
          <w:tcPr>
            <w:tcW w:w="1134" w:type="dxa"/>
            <w:vAlign w:val="center"/>
          </w:tcPr>
          <w:p w:rsidR="00B72E78" w:rsidRPr="00AA19EC" w:rsidRDefault="00E6652A" w:rsidP="00B72E78">
            <w:pPr>
              <w:jc w:val="center"/>
              <w:rPr>
                <w:sz w:val="18"/>
                <w:szCs w:val="18"/>
              </w:rPr>
            </w:pPr>
            <w:r>
              <w:rPr>
                <w:sz w:val="18"/>
                <w:szCs w:val="18"/>
              </w:rPr>
              <w:t>Semestral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AA19EC" w:rsidRDefault="00B72E78" w:rsidP="00B72E78">
            <w:pPr>
              <w:jc w:val="center"/>
              <w:rPr>
                <w:sz w:val="18"/>
                <w:szCs w:val="18"/>
              </w:rPr>
            </w:pPr>
          </w:p>
        </w:tc>
        <w:tc>
          <w:tcPr>
            <w:tcW w:w="4962" w:type="dxa"/>
          </w:tcPr>
          <w:p w:rsidR="00B72E78" w:rsidRPr="00AA19EC"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08.2]-06.1 Porcentaje de asistencias técnicas finalizadas desde su tramitación, en los siguientes plazos: 2 días hábiles.</w:t>
            </w:r>
          </w:p>
        </w:tc>
        <w:tc>
          <w:tcPr>
            <w:tcW w:w="851" w:type="dxa"/>
            <w:vAlign w:val="center"/>
          </w:tcPr>
          <w:p w:rsidR="00B72E78" w:rsidRPr="00AA19EC" w:rsidRDefault="00E6652A" w:rsidP="00B72E78">
            <w:pPr>
              <w:jc w:val="center"/>
              <w:rPr>
                <w:sz w:val="18"/>
                <w:szCs w:val="18"/>
              </w:rPr>
            </w:pPr>
            <w:r w:rsidRPr="00E6652A">
              <w:rPr>
                <w:sz w:val="18"/>
                <w:szCs w:val="18"/>
              </w:rPr>
              <w:t>&gt;=35%</w:t>
            </w:r>
          </w:p>
        </w:tc>
        <w:tc>
          <w:tcPr>
            <w:tcW w:w="1134" w:type="dxa"/>
            <w:vAlign w:val="center"/>
          </w:tcPr>
          <w:p w:rsidR="00B72E78" w:rsidRPr="00AA19EC" w:rsidRDefault="00E6652A" w:rsidP="00B72E78">
            <w:pPr>
              <w:jc w:val="center"/>
              <w:rPr>
                <w:sz w:val="18"/>
                <w:szCs w:val="18"/>
              </w:rPr>
            </w:pPr>
            <w:r>
              <w:rPr>
                <w:sz w:val="18"/>
                <w:szCs w:val="18"/>
              </w:rPr>
              <w:t>Trimestral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AA19EC" w:rsidRDefault="00B72E78" w:rsidP="00B72E78">
            <w:pPr>
              <w:jc w:val="center"/>
              <w:rPr>
                <w:sz w:val="18"/>
                <w:szCs w:val="18"/>
              </w:rPr>
            </w:pPr>
          </w:p>
        </w:tc>
        <w:tc>
          <w:tcPr>
            <w:tcW w:w="4962" w:type="dxa"/>
          </w:tcPr>
          <w:p w:rsidR="00B72E78" w:rsidRPr="00AA19EC"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08.2]-06.2 Porcentaje de asistencias técnicas finalizadas desde su tramitación, en los siguientes plazos: 5 días hábiles.</w:t>
            </w:r>
          </w:p>
        </w:tc>
        <w:tc>
          <w:tcPr>
            <w:tcW w:w="851" w:type="dxa"/>
            <w:vAlign w:val="center"/>
          </w:tcPr>
          <w:p w:rsidR="00B72E78" w:rsidRPr="00AA19EC" w:rsidRDefault="00E6652A" w:rsidP="00B72E78">
            <w:pPr>
              <w:jc w:val="center"/>
              <w:rPr>
                <w:sz w:val="18"/>
                <w:szCs w:val="18"/>
              </w:rPr>
            </w:pPr>
            <w:r w:rsidRPr="00E6652A">
              <w:rPr>
                <w:sz w:val="18"/>
                <w:szCs w:val="18"/>
              </w:rPr>
              <w:t>&gt;=55%</w:t>
            </w:r>
          </w:p>
        </w:tc>
        <w:tc>
          <w:tcPr>
            <w:tcW w:w="1134" w:type="dxa"/>
            <w:vAlign w:val="center"/>
          </w:tcPr>
          <w:p w:rsidR="00B72E78" w:rsidRPr="00AA19EC" w:rsidRDefault="00E6652A" w:rsidP="00B72E78">
            <w:pPr>
              <w:jc w:val="center"/>
              <w:rPr>
                <w:sz w:val="18"/>
                <w:szCs w:val="18"/>
              </w:rPr>
            </w:pPr>
            <w:r>
              <w:rPr>
                <w:sz w:val="18"/>
                <w:szCs w:val="18"/>
              </w:rPr>
              <w:t>Trimestral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AA19EC" w:rsidRDefault="00B72E78" w:rsidP="00B72E78">
            <w:pPr>
              <w:jc w:val="center"/>
              <w:rPr>
                <w:sz w:val="18"/>
                <w:szCs w:val="18"/>
              </w:rPr>
            </w:pPr>
          </w:p>
        </w:tc>
        <w:tc>
          <w:tcPr>
            <w:tcW w:w="4962" w:type="dxa"/>
          </w:tcPr>
          <w:p w:rsidR="00B72E78" w:rsidRPr="00AA19EC"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08.2]-06.3 Porcentaje de asistencias técnicas finalizadas desde su tramitación, en los siguientes plazos: 10 días hábiles.</w:t>
            </w:r>
          </w:p>
        </w:tc>
        <w:tc>
          <w:tcPr>
            <w:tcW w:w="851" w:type="dxa"/>
            <w:vAlign w:val="center"/>
          </w:tcPr>
          <w:p w:rsidR="00B72E78" w:rsidRPr="00AA19EC" w:rsidRDefault="00E6652A" w:rsidP="00B72E78">
            <w:pPr>
              <w:jc w:val="center"/>
              <w:rPr>
                <w:sz w:val="18"/>
                <w:szCs w:val="18"/>
              </w:rPr>
            </w:pPr>
            <w:r w:rsidRPr="00E6652A">
              <w:rPr>
                <w:sz w:val="18"/>
                <w:szCs w:val="18"/>
              </w:rPr>
              <w:t>&gt;=70%</w:t>
            </w:r>
          </w:p>
        </w:tc>
        <w:tc>
          <w:tcPr>
            <w:tcW w:w="1134" w:type="dxa"/>
            <w:vAlign w:val="center"/>
          </w:tcPr>
          <w:p w:rsidR="00B72E78" w:rsidRPr="00AA19EC" w:rsidRDefault="00E6652A" w:rsidP="00B72E78">
            <w:pPr>
              <w:jc w:val="center"/>
              <w:rPr>
                <w:sz w:val="18"/>
                <w:szCs w:val="18"/>
              </w:rPr>
            </w:pPr>
            <w:r>
              <w:rPr>
                <w:sz w:val="18"/>
                <w:szCs w:val="18"/>
              </w:rPr>
              <w:t>Trimestral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AA19EC" w:rsidRDefault="00B72E78" w:rsidP="00B72E78">
            <w:pPr>
              <w:jc w:val="center"/>
              <w:rPr>
                <w:sz w:val="18"/>
                <w:szCs w:val="18"/>
              </w:rPr>
            </w:pPr>
          </w:p>
        </w:tc>
        <w:tc>
          <w:tcPr>
            <w:tcW w:w="4962" w:type="dxa"/>
          </w:tcPr>
          <w:p w:rsidR="00B72E78" w:rsidRPr="00AA19EC"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08.2]-06.4 Porcentaje de asistencias técnicas finalizadas desde su tramitación, en los siguientes plazos: 20 días hábiles.</w:t>
            </w:r>
          </w:p>
        </w:tc>
        <w:tc>
          <w:tcPr>
            <w:tcW w:w="851" w:type="dxa"/>
            <w:vAlign w:val="center"/>
          </w:tcPr>
          <w:p w:rsidR="00B72E78" w:rsidRPr="00AA19EC" w:rsidRDefault="00E6652A" w:rsidP="00B72E78">
            <w:pPr>
              <w:jc w:val="center"/>
              <w:rPr>
                <w:sz w:val="18"/>
                <w:szCs w:val="18"/>
              </w:rPr>
            </w:pPr>
            <w:r w:rsidRPr="00E6652A">
              <w:rPr>
                <w:sz w:val="18"/>
                <w:szCs w:val="18"/>
              </w:rPr>
              <w:t>&gt;=80%</w:t>
            </w:r>
          </w:p>
        </w:tc>
        <w:tc>
          <w:tcPr>
            <w:tcW w:w="1134" w:type="dxa"/>
            <w:vAlign w:val="center"/>
          </w:tcPr>
          <w:p w:rsidR="00B72E78" w:rsidRPr="00AA19EC" w:rsidRDefault="00E6652A" w:rsidP="00B72E78">
            <w:pPr>
              <w:jc w:val="center"/>
              <w:rPr>
                <w:sz w:val="18"/>
                <w:szCs w:val="18"/>
              </w:rPr>
            </w:pPr>
            <w:r>
              <w:rPr>
                <w:sz w:val="18"/>
                <w:szCs w:val="18"/>
              </w:rPr>
              <w:t>Trimestral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AA19EC" w:rsidRDefault="00B72E78" w:rsidP="00B72E78">
            <w:pPr>
              <w:jc w:val="center"/>
              <w:rPr>
                <w:sz w:val="18"/>
                <w:szCs w:val="18"/>
              </w:rPr>
            </w:pPr>
          </w:p>
        </w:tc>
        <w:tc>
          <w:tcPr>
            <w:tcW w:w="4962" w:type="dxa"/>
          </w:tcPr>
          <w:p w:rsidR="00B72E78" w:rsidRPr="00AA19EC" w:rsidRDefault="00B72E78"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r w:rsidRPr="00E6652A">
              <w:rPr>
                <w:sz w:val="18"/>
                <w:szCs w:val="18"/>
              </w:rPr>
              <w:t>I.[PC 08.2]-07 Porcentaje de Incidencias resueltas que no requieren mantenimiento correctivo en prácticas Docentes</w:t>
            </w:r>
          </w:p>
        </w:tc>
        <w:tc>
          <w:tcPr>
            <w:tcW w:w="851" w:type="dxa"/>
            <w:vAlign w:val="center"/>
          </w:tcPr>
          <w:p w:rsidR="00B72E78" w:rsidRPr="00AA19EC" w:rsidRDefault="00E6652A" w:rsidP="00B72E78">
            <w:pPr>
              <w:jc w:val="center"/>
              <w:rPr>
                <w:sz w:val="18"/>
                <w:szCs w:val="18"/>
              </w:rPr>
            </w:pPr>
            <w:r>
              <w:rPr>
                <w:sz w:val="18"/>
                <w:szCs w:val="18"/>
              </w:rPr>
              <w:t>No Procede</w:t>
            </w:r>
          </w:p>
        </w:tc>
        <w:tc>
          <w:tcPr>
            <w:tcW w:w="1134" w:type="dxa"/>
            <w:vAlign w:val="center"/>
          </w:tcPr>
          <w:p w:rsidR="00B72E78" w:rsidRPr="00AA19EC" w:rsidRDefault="00E6652A" w:rsidP="00B72E78">
            <w:pPr>
              <w:jc w:val="center"/>
              <w:rPr>
                <w:sz w:val="18"/>
                <w:szCs w:val="18"/>
              </w:rPr>
            </w:pPr>
            <w:r>
              <w:rPr>
                <w:sz w:val="18"/>
                <w:szCs w:val="18"/>
              </w:rPr>
              <w:t>Semestral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E6652A" w:rsidRDefault="00B72E78" w:rsidP="00B72E78">
            <w:pPr>
              <w:jc w:val="center"/>
              <w:rPr>
                <w:i/>
                <w:sz w:val="18"/>
                <w:szCs w:val="18"/>
              </w:rPr>
            </w:pPr>
          </w:p>
        </w:tc>
        <w:tc>
          <w:tcPr>
            <w:tcW w:w="4962" w:type="dxa"/>
          </w:tcPr>
          <w:p w:rsidR="00B72E78" w:rsidRPr="00E6652A" w:rsidRDefault="00B72E78" w:rsidP="00B72E78">
            <w:pPr>
              <w:jc w:val="center"/>
              <w:rPr>
                <w:i/>
                <w:sz w:val="18"/>
                <w:szCs w:val="18"/>
              </w:rPr>
            </w:pPr>
          </w:p>
        </w:tc>
      </w:tr>
      <w:tr w:rsidR="00E6652A" w:rsidRPr="00AA19EC" w:rsidTr="00DE6E7C">
        <w:tc>
          <w:tcPr>
            <w:tcW w:w="2518" w:type="dxa"/>
            <w:shd w:val="clear" w:color="auto" w:fill="D9D9D9" w:themeFill="background1" w:themeFillShade="D9"/>
          </w:tcPr>
          <w:p w:rsidR="00E6652A" w:rsidRPr="00E6652A" w:rsidRDefault="00E6652A" w:rsidP="00E6652A">
            <w:pPr>
              <w:rPr>
                <w:sz w:val="18"/>
                <w:szCs w:val="18"/>
              </w:rPr>
            </w:pPr>
            <w:r w:rsidRPr="00E6652A">
              <w:rPr>
                <w:sz w:val="18"/>
                <w:szCs w:val="18"/>
              </w:rPr>
              <w:t>I.[PC 08.2]-08 Porcentaje de adecuación funcional de recursos para prácticas docentes</w:t>
            </w:r>
          </w:p>
          <w:p w:rsidR="00E6652A" w:rsidRPr="00AA19EC" w:rsidRDefault="00E6652A" w:rsidP="00E6652A">
            <w:pPr>
              <w:rPr>
                <w:sz w:val="18"/>
                <w:szCs w:val="18"/>
              </w:rPr>
            </w:pPr>
            <w:r>
              <w:rPr>
                <w:sz w:val="18"/>
                <w:szCs w:val="18"/>
              </w:rPr>
              <w:t>[</w:t>
            </w:r>
            <w:proofErr w:type="gramStart"/>
            <w:r>
              <w:rPr>
                <w:sz w:val="18"/>
                <w:szCs w:val="18"/>
              </w:rPr>
              <w:t>compromiso</w:t>
            </w:r>
            <w:proofErr w:type="gramEnd"/>
            <w:r>
              <w:rPr>
                <w:sz w:val="18"/>
                <w:szCs w:val="18"/>
              </w:rPr>
              <w:t xml:space="preserve"> de calidad asociado: </w:t>
            </w:r>
            <w:r w:rsidRPr="00E6652A">
              <w:rPr>
                <w:sz w:val="18"/>
                <w:szCs w:val="18"/>
              </w:rPr>
              <w:t>3.-Las solicitudes de adecuación de recursos para prácticas docentes serán realizadas en un 95%.</w:t>
            </w:r>
            <w:r>
              <w:rPr>
                <w:sz w:val="18"/>
                <w:szCs w:val="18"/>
              </w:rPr>
              <w:t>]</w:t>
            </w:r>
          </w:p>
        </w:tc>
        <w:tc>
          <w:tcPr>
            <w:tcW w:w="851" w:type="dxa"/>
            <w:vAlign w:val="center"/>
          </w:tcPr>
          <w:p w:rsidR="00E6652A" w:rsidRPr="00AA19EC" w:rsidRDefault="00E6652A" w:rsidP="00B72E78">
            <w:pPr>
              <w:jc w:val="center"/>
              <w:rPr>
                <w:sz w:val="18"/>
                <w:szCs w:val="18"/>
              </w:rPr>
            </w:pPr>
            <w:r w:rsidRPr="00E6652A">
              <w:rPr>
                <w:sz w:val="18"/>
                <w:szCs w:val="18"/>
              </w:rPr>
              <w:t>&gt;=95%</w:t>
            </w:r>
          </w:p>
        </w:tc>
        <w:tc>
          <w:tcPr>
            <w:tcW w:w="1134" w:type="dxa"/>
            <w:vAlign w:val="center"/>
          </w:tcPr>
          <w:p w:rsidR="00E6652A" w:rsidRPr="00AA19EC" w:rsidRDefault="00E6652A" w:rsidP="00B72E78">
            <w:pPr>
              <w:jc w:val="center"/>
              <w:rPr>
                <w:sz w:val="18"/>
                <w:szCs w:val="18"/>
              </w:rPr>
            </w:pPr>
            <w:r>
              <w:rPr>
                <w:sz w:val="18"/>
                <w:szCs w:val="18"/>
              </w:rPr>
              <w:t>Semestral</w:t>
            </w:r>
          </w:p>
        </w:tc>
        <w:tc>
          <w:tcPr>
            <w:tcW w:w="567" w:type="dxa"/>
            <w:vAlign w:val="center"/>
          </w:tcPr>
          <w:p w:rsidR="00E6652A" w:rsidRPr="004D6ED2" w:rsidRDefault="00FB249D" w:rsidP="00B72E78">
            <w:pPr>
              <w:jc w:val="center"/>
              <w:rPr>
                <w:sz w:val="18"/>
                <w:szCs w:val="18"/>
              </w:rPr>
            </w:pPr>
            <w:r>
              <w:rPr>
                <w:sz w:val="18"/>
                <w:szCs w:val="18"/>
              </w:rPr>
              <w:t>X</w:t>
            </w:r>
          </w:p>
        </w:tc>
        <w:tc>
          <w:tcPr>
            <w:tcW w:w="708" w:type="dxa"/>
          </w:tcPr>
          <w:p w:rsidR="00E6652A" w:rsidRPr="00AA19EC" w:rsidRDefault="00E6652A" w:rsidP="00B72E78">
            <w:pPr>
              <w:jc w:val="center"/>
              <w:rPr>
                <w:sz w:val="18"/>
                <w:szCs w:val="18"/>
              </w:rPr>
            </w:pPr>
          </w:p>
        </w:tc>
        <w:tc>
          <w:tcPr>
            <w:tcW w:w="4962" w:type="dxa"/>
          </w:tcPr>
          <w:p w:rsidR="00E6652A" w:rsidRPr="00AA19EC" w:rsidRDefault="00E6652A" w:rsidP="00B72E78">
            <w:pPr>
              <w:jc w:val="center"/>
              <w:rPr>
                <w:sz w:val="18"/>
                <w:szCs w:val="18"/>
              </w:rPr>
            </w:pPr>
          </w:p>
        </w:tc>
      </w:tr>
      <w:tr w:rsidR="00B72E78" w:rsidRPr="00AA19EC" w:rsidTr="00DE6E7C">
        <w:tc>
          <w:tcPr>
            <w:tcW w:w="2518" w:type="dxa"/>
            <w:shd w:val="clear" w:color="auto" w:fill="D9D9D9" w:themeFill="background1" w:themeFillShade="D9"/>
          </w:tcPr>
          <w:p w:rsidR="00B72E78" w:rsidRPr="00AA19EC" w:rsidRDefault="00E6652A" w:rsidP="00B72E78">
            <w:pPr>
              <w:rPr>
                <w:sz w:val="18"/>
                <w:szCs w:val="18"/>
              </w:rPr>
            </w:pPr>
            <w:proofErr w:type="gramStart"/>
            <w:r w:rsidRPr="00E6652A">
              <w:rPr>
                <w:sz w:val="18"/>
                <w:szCs w:val="18"/>
              </w:rPr>
              <w:t>I.[</w:t>
            </w:r>
            <w:proofErr w:type="gramEnd"/>
            <w:r w:rsidRPr="00E6652A">
              <w:rPr>
                <w:sz w:val="18"/>
                <w:szCs w:val="18"/>
              </w:rPr>
              <w:t>PC 08.2]-15 Porcentaje de solicitudes de apoyo científico-técnico a la Investigación.</w:t>
            </w:r>
          </w:p>
        </w:tc>
        <w:tc>
          <w:tcPr>
            <w:tcW w:w="851" w:type="dxa"/>
            <w:vAlign w:val="center"/>
          </w:tcPr>
          <w:p w:rsidR="00B72E78" w:rsidRPr="00AA19EC" w:rsidRDefault="00E6652A" w:rsidP="00B72E78">
            <w:pPr>
              <w:jc w:val="center"/>
              <w:rPr>
                <w:sz w:val="18"/>
                <w:szCs w:val="18"/>
              </w:rPr>
            </w:pPr>
            <w:r>
              <w:rPr>
                <w:sz w:val="18"/>
                <w:szCs w:val="18"/>
              </w:rPr>
              <w:t>No Procede</w:t>
            </w:r>
          </w:p>
        </w:tc>
        <w:tc>
          <w:tcPr>
            <w:tcW w:w="1134" w:type="dxa"/>
            <w:vAlign w:val="center"/>
          </w:tcPr>
          <w:p w:rsidR="00B72E78" w:rsidRPr="00AA19EC" w:rsidRDefault="00E6652A" w:rsidP="00B72E78">
            <w:pPr>
              <w:jc w:val="center"/>
              <w:rPr>
                <w:sz w:val="18"/>
                <w:szCs w:val="18"/>
              </w:rPr>
            </w:pPr>
            <w:r>
              <w:rPr>
                <w:sz w:val="18"/>
                <w:szCs w:val="18"/>
              </w:rPr>
              <w:t>Anual</w:t>
            </w:r>
          </w:p>
        </w:tc>
        <w:tc>
          <w:tcPr>
            <w:tcW w:w="567" w:type="dxa"/>
            <w:vAlign w:val="center"/>
          </w:tcPr>
          <w:p w:rsidR="00B72E78" w:rsidRPr="004D6ED2" w:rsidRDefault="00FB249D" w:rsidP="00B72E78">
            <w:pPr>
              <w:jc w:val="center"/>
              <w:rPr>
                <w:sz w:val="18"/>
                <w:szCs w:val="18"/>
              </w:rPr>
            </w:pPr>
            <w:r>
              <w:rPr>
                <w:sz w:val="18"/>
                <w:szCs w:val="18"/>
              </w:rPr>
              <w:t>X</w:t>
            </w:r>
          </w:p>
        </w:tc>
        <w:tc>
          <w:tcPr>
            <w:tcW w:w="708" w:type="dxa"/>
          </w:tcPr>
          <w:p w:rsidR="00B72E78" w:rsidRPr="00E6652A" w:rsidRDefault="00B72E78" w:rsidP="00B72E78">
            <w:pPr>
              <w:jc w:val="center"/>
              <w:rPr>
                <w:sz w:val="18"/>
                <w:szCs w:val="18"/>
              </w:rPr>
            </w:pPr>
          </w:p>
        </w:tc>
        <w:tc>
          <w:tcPr>
            <w:tcW w:w="4962" w:type="dxa"/>
          </w:tcPr>
          <w:p w:rsidR="00B72E78" w:rsidRPr="00E6652A" w:rsidRDefault="00B72E78" w:rsidP="00B72E78">
            <w:pPr>
              <w:jc w:val="center"/>
              <w:rPr>
                <w:sz w:val="18"/>
                <w:szCs w:val="18"/>
              </w:rPr>
            </w:pPr>
          </w:p>
        </w:tc>
      </w:tr>
      <w:tr w:rsidR="00B72E78" w:rsidTr="00B72E78">
        <w:trPr>
          <w:trHeight w:val="857"/>
        </w:trPr>
        <w:tc>
          <w:tcPr>
            <w:tcW w:w="2518" w:type="dxa"/>
            <w:shd w:val="clear" w:color="auto" w:fill="D9D9D9" w:themeFill="background1" w:themeFillShade="D9"/>
            <w:vAlign w:val="center"/>
          </w:tcPr>
          <w:p w:rsidR="00B72E78" w:rsidRPr="00E6652A" w:rsidRDefault="00B72E78" w:rsidP="00B72E78">
            <w:pPr>
              <w:rPr>
                <w:b/>
                <w:sz w:val="20"/>
                <w:szCs w:val="20"/>
              </w:rPr>
            </w:pPr>
            <w:r w:rsidRPr="00E6652A">
              <w:rPr>
                <w:b/>
                <w:sz w:val="20"/>
                <w:szCs w:val="20"/>
              </w:rPr>
              <w:t>Valoración de auditoría</w:t>
            </w:r>
          </w:p>
        </w:tc>
        <w:tc>
          <w:tcPr>
            <w:tcW w:w="8222" w:type="dxa"/>
            <w:gridSpan w:val="5"/>
            <w:vAlign w:val="center"/>
          </w:tcPr>
          <w:p w:rsidR="00987CD4" w:rsidRDefault="00FB249D" w:rsidP="00B72E78">
            <w:pPr>
              <w:jc w:val="both"/>
            </w:pPr>
            <w:r w:rsidRPr="00987CD4">
              <w:t>Se verifica  la  conformidad de la medición de los indicadores asociados al proceso</w:t>
            </w:r>
            <w:r w:rsidR="00987CD4" w:rsidRPr="00987CD4">
              <w:t xml:space="preserve">, comprobando las mediciones parciales y totales </w:t>
            </w:r>
            <w:r w:rsidR="00987CD4">
              <w:t>del global de la unidad reflejando los siguientes valores:</w:t>
            </w:r>
          </w:p>
          <w:p w:rsidR="00FF4EB0" w:rsidRDefault="00987CD4" w:rsidP="00B72E78">
            <w:pPr>
              <w:pStyle w:val="Prrafodelista"/>
              <w:numPr>
                <w:ilvl w:val="0"/>
                <w:numId w:val="24"/>
              </w:numPr>
              <w:jc w:val="both"/>
            </w:pPr>
            <w:r>
              <w:t>I.[PC 08.2]-04: 1387</w:t>
            </w:r>
          </w:p>
          <w:p w:rsidR="00FF4EB0" w:rsidRDefault="00987CD4" w:rsidP="00B72E78">
            <w:pPr>
              <w:pStyle w:val="Prrafodelista"/>
              <w:numPr>
                <w:ilvl w:val="0"/>
                <w:numId w:val="24"/>
              </w:numPr>
              <w:jc w:val="both"/>
            </w:pPr>
            <w:r>
              <w:t>I.[PC 08.2]-05: 99%</w:t>
            </w:r>
          </w:p>
          <w:p w:rsidR="00FF4EB0" w:rsidRDefault="00987CD4" w:rsidP="00B72E78">
            <w:pPr>
              <w:pStyle w:val="Prrafodelista"/>
              <w:numPr>
                <w:ilvl w:val="1"/>
                <w:numId w:val="24"/>
              </w:numPr>
              <w:jc w:val="both"/>
            </w:pPr>
            <w:r>
              <w:t xml:space="preserve">Primer Semestre: 98%; </w:t>
            </w:r>
          </w:p>
          <w:p w:rsidR="00987CD4" w:rsidRDefault="00987CD4" w:rsidP="00B72E78">
            <w:pPr>
              <w:pStyle w:val="Prrafodelista"/>
              <w:numPr>
                <w:ilvl w:val="1"/>
                <w:numId w:val="24"/>
              </w:numPr>
              <w:jc w:val="both"/>
            </w:pPr>
            <w:r>
              <w:t xml:space="preserve">Segundo Semestre; 100%; </w:t>
            </w:r>
          </w:p>
          <w:p w:rsidR="00987CD4" w:rsidRDefault="00987CD4" w:rsidP="00B72E78">
            <w:pPr>
              <w:jc w:val="both"/>
            </w:pPr>
            <w:r>
              <w:t xml:space="preserve">De las 129 consultas técnicas solicitadas 128 se han cerrado en el plazo establecido. </w:t>
            </w:r>
          </w:p>
          <w:p w:rsidR="00987CD4" w:rsidRPr="00987CD4" w:rsidRDefault="00987CD4" w:rsidP="00644DA7">
            <w:pPr>
              <w:jc w:val="both"/>
              <w:rPr>
                <w:lang w:val="en-US"/>
              </w:rPr>
            </w:pPr>
            <w:r w:rsidRPr="00987CD4">
              <w:rPr>
                <w:lang w:val="en-US"/>
              </w:rPr>
              <w:lastRenderedPageBreak/>
              <w:t>I.[PC 08.2]-06.1            I.[PC 08.2]-06.2          I.[PC 08.2]-06</w:t>
            </w:r>
            <w:r>
              <w:rPr>
                <w:lang w:val="en-US"/>
              </w:rPr>
              <w:t>.3</w:t>
            </w:r>
            <w:r w:rsidRPr="00987CD4">
              <w:rPr>
                <w:lang w:val="en-US"/>
              </w:rPr>
              <w:t xml:space="preserve">          I.[PC 08.2]-06</w:t>
            </w:r>
            <w:r>
              <w:rPr>
                <w:lang w:val="en-US"/>
              </w:rPr>
              <w:t>.4</w:t>
            </w:r>
            <w:r w:rsidR="00644DA7">
              <w:rPr>
                <w:lang w:val="en-US"/>
              </w:rPr>
              <w:t xml:space="preserve">      </w:t>
            </w:r>
          </w:p>
          <w:p w:rsidR="00987CD4" w:rsidRDefault="00987CD4" w:rsidP="00B72E78">
            <w:pPr>
              <w:jc w:val="both"/>
            </w:pPr>
            <w:r w:rsidRPr="00644DA7">
              <w:rPr>
                <w:sz w:val="20"/>
                <w:szCs w:val="20"/>
              </w:rPr>
              <w:t>1º Tr</w:t>
            </w:r>
            <w:r w:rsidR="00644DA7" w:rsidRPr="00644DA7">
              <w:rPr>
                <w:sz w:val="20"/>
                <w:szCs w:val="20"/>
              </w:rPr>
              <w:t>imestre</w:t>
            </w:r>
            <w:r>
              <w:t xml:space="preserve">: </w:t>
            </w:r>
            <w:r w:rsidR="00644DA7">
              <w:t>91</w:t>
            </w:r>
            <w:r>
              <w:t xml:space="preserve">% </w:t>
            </w:r>
            <w:r w:rsidR="00644DA7">
              <w:t xml:space="preserve">        </w:t>
            </w:r>
            <w:r w:rsidR="00C50673">
              <w:t xml:space="preserve"> </w:t>
            </w:r>
            <w:r w:rsidR="00644DA7" w:rsidRPr="00644DA7">
              <w:rPr>
                <w:sz w:val="20"/>
                <w:szCs w:val="20"/>
              </w:rPr>
              <w:t>1º Trimestre</w:t>
            </w:r>
            <w:r w:rsidR="00644DA7">
              <w:t xml:space="preserve">: </w:t>
            </w:r>
            <w:r w:rsidR="00C50673">
              <w:t>95</w:t>
            </w:r>
            <w:r w:rsidR="00644DA7">
              <w:t xml:space="preserve">%     </w:t>
            </w:r>
            <w:r w:rsidR="00C50673">
              <w:t xml:space="preserve">  </w:t>
            </w:r>
            <w:r w:rsidR="00644DA7" w:rsidRPr="00644DA7">
              <w:rPr>
                <w:sz w:val="20"/>
                <w:szCs w:val="20"/>
              </w:rPr>
              <w:t>1º Trimestre</w:t>
            </w:r>
            <w:r w:rsidR="00644DA7">
              <w:t>: 9</w:t>
            </w:r>
            <w:r w:rsidR="00C50673">
              <w:t>7</w:t>
            </w:r>
            <w:r w:rsidR="00644DA7">
              <w:t xml:space="preserve">%       </w:t>
            </w:r>
            <w:r w:rsidR="00644DA7" w:rsidRPr="00644DA7">
              <w:rPr>
                <w:sz w:val="20"/>
                <w:szCs w:val="20"/>
              </w:rPr>
              <w:t>1º Trimestre</w:t>
            </w:r>
            <w:r w:rsidR="00644DA7">
              <w:t>: 9</w:t>
            </w:r>
            <w:r w:rsidR="00C50673">
              <w:t>7</w:t>
            </w:r>
            <w:r w:rsidR="00644DA7">
              <w:t xml:space="preserve">% </w:t>
            </w:r>
          </w:p>
          <w:p w:rsidR="00644DA7" w:rsidRDefault="00644DA7" w:rsidP="00644DA7">
            <w:pPr>
              <w:jc w:val="both"/>
            </w:pPr>
            <w:r>
              <w:rPr>
                <w:sz w:val="20"/>
                <w:szCs w:val="20"/>
              </w:rPr>
              <w:t>2</w:t>
            </w:r>
            <w:r w:rsidRPr="00644DA7">
              <w:rPr>
                <w:sz w:val="20"/>
                <w:szCs w:val="20"/>
              </w:rPr>
              <w:t>º Trimestre</w:t>
            </w:r>
            <w:r>
              <w:t xml:space="preserve">: </w:t>
            </w:r>
            <w:r w:rsidR="00C50673">
              <w:t>100</w:t>
            </w:r>
            <w:r>
              <w:t>%        2</w:t>
            </w:r>
            <w:r w:rsidRPr="00644DA7">
              <w:rPr>
                <w:sz w:val="20"/>
                <w:szCs w:val="20"/>
              </w:rPr>
              <w:t>º Trimestre</w:t>
            </w:r>
            <w:r>
              <w:t>: 100%     2</w:t>
            </w:r>
            <w:r w:rsidRPr="00644DA7">
              <w:rPr>
                <w:sz w:val="20"/>
                <w:szCs w:val="20"/>
              </w:rPr>
              <w:t>º Trimestre</w:t>
            </w:r>
            <w:r w:rsidR="00C50673">
              <w:t>: 10</w:t>
            </w:r>
            <w:r>
              <w:t>0%     2</w:t>
            </w:r>
            <w:r w:rsidRPr="00644DA7">
              <w:rPr>
                <w:sz w:val="20"/>
                <w:szCs w:val="20"/>
              </w:rPr>
              <w:t>º Trimestre</w:t>
            </w:r>
            <w:r>
              <w:t xml:space="preserve">: </w:t>
            </w:r>
            <w:r w:rsidR="00C50673">
              <w:t>100</w:t>
            </w:r>
            <w:r>
              <w:t xml:space="preserve">% </w:t>
            </w:r>
          </w:p>
          <w:p w:rsidR="00644DA7" w:rsidRDefault="00644DA7" w:rsidP="00644DA7">
            <w:pPr>
              <w:jc w:val="both"/>
            </w:pPr>
            <w:r>
              <w:rPr>
                <w:sz w:val="20"/>
                <w:szCs w:val="20"/>
              </w:rPr>
              <w:t>3</w:t>
            </w:r>
            <w:r w:rsidRPr="00644DA7">
              <w:rPr>
                <w:sz w:val="20"/>
                <w:szCs w:val="20"/>
              </w:rPr>
              <w:t>º Trimestre</w:t>
            </w:r>
            <w:r>
              <w:t>: 9</w:t>
            </w:r>
            <w:r w:rsidR="00C50673">
              <w:t>0</w:t>
            </w:r>
            <w:r>
              <w:t xml:space="preserve">%          </w:t>
            </w:r>
            <w:r>
              <w:rPr>
                <w:sz w:val="20"/>
                <w:szCs w:val="20"/>
              </w:rPr>
              <w:t>3</w:t>
            </w:r>
            <w:r w:rsidRPr="00644DA7">
              <w:rPr>
                <w:sz w:val="20"/>
                <w:szCs w:val="20"/>
              </w:rPr>
              <w:t>º Trimestre</w:t>
            </w:r>
            <w:r>
              <w:t xml:space="preserve">: </w:t>
            </w:r>
            <w:r w:rsidR="00C50673">
              <w:t>9</w:t>
            </w:r>
            <w:r>
              <w:t xml:space="preserve">0%     </w:t>
            </w:r>
            <w:r w:rsidR="00C50673">
              <w:t xml:space="preserve">  </w:t>
            </w:r>
            <w:r>
              <w:rPr>
                <w:sz w:val="20"/>
                <w:szCs w:val="20"/>
              </w:rPr>
              <w:t>3</w:t>
            </w:r>
            <w:r w:rsidRPr="00644DA7">
              <w:rPr>
                <w:sz w:val="20"/>
                <w:szCs w:val="20"/>
              </w:rPr>
              <w:t>º Trimestre</w:t>
            </w:r>
            <w:r>
              <w:t>: 100%     3</w:t>
            </w:r>
            <w:r w:rsidRPr="00644DA7">
              <w:rPr>
                <w:sz w:val="20"/>
                <w:szCs w:val="20"/>
              </w:rPr>
              <w:t>º Trimestre</w:t>
            </w:r>
            <w:r>
              <w:t xml:space="preserve">: </w:t>
            </w:r>
            <w:r w:rsidR="004D4D19">
              <w:t>100</w:t>
            </w:r>
            <w:r>
              <w:t xml:space="preserve">% </w:t>
            </w:r>
          </w:p>
          <w:p w:rsidR="00644DA7" w:rsidRDefault="00644DA7" w:rsidP="00644DA7">
            <w:pPr>
              <w:jc w:val="both"/>
            </w:pPr>
            <w:r>
              <w:rPr>
                <w:sz w:val="20"/>
                <w:szCs w:val="20"/>
              </w:rPr>
              <w:t>4</w:t>
            </w:r>
            <w:r w:rsidRPr="00644DA7">
              <w:rPr>
                <w:sz w:val="20"/>
                <w:szCs w:val="20"/>
              </w:rPr>
              <w:t>º Trimestre</w:t>
            </w:r>
            <w:r w:rsidR="00C50673">
              <w:t>: 91</w:t>
            </w:r>
            <w:r>
              <w:t xml:space="preserve">%          </w:t>
            </w:r>
            <w:r>
              <w:rPr>
                <w:sz w:val="20"/>
                <w:szCs w:val="20"/>
              </w:rPr>
              <w:t>4</w:t>
            </w:r>
            <w:r w:rsidRPr="00644DA7">
              <w:rPr>
                <w:sz w:val="20"/>
                <w:szCs w:val="20"/>
              </w:rPr>
              <w:t>º Trimestre</w:t>
            </w:r>
            <w:r>
              <w:t xml:space="preserve">: </w:t>
            </w:r>
            <w:r w:rsidR="00C50673">
              <w:t>97</w:t>
            </w:r>
            <w:r>
              <w:t xml:space="preserve">%     </w:t>
            </w:r>
            <w:r w:rsidR="00C50673">
              <w:t xml:space="preserve">  </w:t>
            </w:r>
            <w:r>
              <w:rPr>
                <w:sz w:val="20"/>
                <w:szCs w:val="20"/>
              </w:rPr>
              <w:t>4</w:t>
            </w:r>
            <w:r w:rsidRPr="00644DA7">
              <w:rPr>
                <w:sz w:val="20"/>
                <w:szCs w:val="20"/>
              </w:rPr>
              <w:t>º Trimestre</w:t>
            </w:r>
            <w:r>
              <w:t>: 100%     4</w:t>
            </w:r>
            <w:r w:rsidRPr="00644DA7">
              <w:rPr>
                <w:sz w:val="20"/>
                <w:szCs w:val="20"/>
              </w:rPr>
              <w:t>º Trimestre</w:t>
            </w:r>
            <w:r>
              <w:t xml:space="preserve">: </w:t>
            </w:r>
            <w:r w:rsidR="004D4D19">
              <w:t>100</w:t>
            </w:r>
            <w:r>
              <w:t xml:space="preserve">% </w:t>
            </w:r>
          </w:p>
          <w:p w:rsidR="00C50673" w:rsidRDefault="00C50673" w:rsidP="00C50673">
            <w:pPr>
              <w:jc w:val="both"/>
            </w:pPr>
            <w:r w:rsidRPr="00C50673">
              <w:rPr>
                <w:sz w:val="20"/>
                <w:szCs w:val="20"/>
              </w:rPr>
              <w:t>Anual</w:t>
            </w:r>
            <w:r>
              <w:rPr>
                <w:sz w:val="20"/>
                <w:szCs w:val="20"/>
              </w:rPr>
              <w:t xml:space="preserve">: </w:t>
            </w:r>
            <w:r>
              <w:t xml:space="preserve">93%                    </w:t>
            </w:r>
            <w:r w:rsidRPr="00C50673">
              <w:rPr>
                <w:sz w:val="20"/>
                <w:szCs w:val="20"/>
              </w:rPr>
              <w:t xml:space="preserve"> Anual</w:t>
            </w:r>
            <w:r>
              <w:rPr>
                <w:sz w:val="20"/>
                <w:szCs w:val="20"/>
              </w:rPr>
              <w:t xml:space="preserve">: </w:t>
            </w:r>
            <w:r>
              <w:t xml:space="preserve">96%                 </w:t>
            </w:r>
            <w:r w:rsidRPr="00C50673">
              <w:rPr>
                <w:sz w:val="20"/>
                <w:szCs w:val="20"/>
              </w:rPr>
              <w:t>Anual</w:t>
            </w:r>
            <w:r>
              <w:rPr>
                <w:sz w:val="20"/>
                <w:szCs w:val="20"/>
              </w:rPr>
              <w:t xml:space="preserve">: </w:t>
            </w:r>
            <w:r>
              <w:t xml:space="preserve">99%                 </w:t>
            </w:r>
            <w:r w:rsidRPr="00C50673">
              <w:rPr>
                <w:sz w:val="20"/>
                <w:szCs w:val="20"/>
              </w:rPr>
              <w:t>Anual</w:t>
            </w:r>
            <w:r>
              <w:rPr>
                <w:sz w:val="20"/>
                <w:szCs w:val="20"/>
              </w:rPr>
              <w:t xml:space="preserve">: </w:t>
            </w:r>
            <w:r>
              <w:t>99%</w:t>
            </w:r>
          </w:p>
          <w:p w:rsidR="00C50673" w:rsidRDefault="00C50673" w:rsidP="00B72E78">
            <w:pPr>
              <w:jc w:val="both"/>
            </w:pPr>
          </w:p>
          <w:p w:rsidR="00FF4EB0" w:rsidRDefault="00987CD4" w:rsidP="00B72E78">
            <w:pPr>
              <w:pStyle w:val="Prrafodelista"/>
              <w:numPr>
                <w:ilvl w:val="0"/>
                <w:numId w:val="25"/>
              </w:numPr>
              <w:jc w:val="both"/>
            </w:pPr>
            <w:r>
              <w:t>I.[PC 08.2]-0</w:t>
            </w:r>
            <w:r w:rsidR="004D4D19">
              <w:t>7</w:t>
            </w:r>
            <w:r>
              <w:t xml:space="preserve">: </w:t>
            </w:r>
            <w:r w:rsidR="004D4D19">
              <w:t>13%</w:t>
            </w:r>
          </w:p>
          <w:p w:rsidR="00FF4EB0" w:rsidRDefault="00987CD4" w:rsidP="00B72E78">
            <w:pPr>
              <w:pStyle w:val="Prrafodelista"/>
              <w:numPr>
                <w:ilvl w:val="1"/>
                <w:numId w:val="25"/>
              </w:numPr>
              <w:jc w:val="both"/>
            </w:pPr>
            <w:r>
              <w:t xml:space="preserve">Primer Semestre: 26%; </w:t>
            </w:r>
          </w:p>
          <w:p w:rsidR="00FF4EB0" w:rsidRDefault="00987CD4" w:rsidP="00B72E78">
            <w:pPr>
              <w:pStyle w:val="Prrafodelista"/>
              <w:numPr>
                <w:ilvl w:val="1"/>
                <w:numId w:val="25"/>
              </w:numPr>
              <w:jc w:val="both"/>
            </w:pPr>
            <w:r>
              <w:t xml:space="preserve">Segundo Semestre; 12%; </w:t>
            </w:r>
          </w:p>
          <w:p w:rsidR="00987CD4" w:rsidRDefault="00987CD4" w:rsidP="00B72E78">
            <w:pPr>
              <w:pStyle w:val="Prrafodelista"/>
              <w:numPr>
                <w:ilvl w:val="1"/>
                <w:numId w:val="25"/>
              </w:numPr>
              <w:jc w:val="both"/>
            </w:pPr>
            <w:r>
              <w:t>Se han resuelto un total de 1</w:t>
            </w:r>
            <w:r w:rsidR="004D4D19">
              <w:t>1</w:t>
            </w:r>
            <w:r>
              <w:t xml:space="preserve"> incidencias sin mantenimiento correctivo </w:t>
            </w:r>
            <w:r w:rsidR="00244145">
              <w:t>sobre</w:t>
            </w:r>
            <w:r>
              <w:t xml:space="preserve"> </w:t>
            </w:r>
            <w:r w:rsidR="004D4D19">
              <w:t>83</w:t>
            </w:r>
            <w:r>
              <w:t xml:space="preserve">. </w:t>
            </w:r>
          </w:p>
          <w:p w:rsidR="00244145" w:rsidRDefault="00244145" w:rsidP="00B72E78">
            <w:pPr>
              <w:jc w:val="both"/>
            </w:pPr>
          </w:p>
          <w:p w:rsidR="00FF4EB0" w:rsidRDefault="00987CD4" w:rsidP="00B72E78">
            <w:pPr>
              <w:pStyle w:val="Prrafodelista"/>
              <w:numPr>
                <w:ilvl w:val="0"/>
                <w:numId w:val="25"/>
              </w:numPr>
              <w:jc w:val="both"/>
            </w:pPr>
            <w:r>
              <w:t>I.[PC 08.2]-0</w:t>
            </w:r>
            <w:r w:rsidR="004D4D19">
              <w:t>8</w:t>
            </w:r>
            <w:r>
              <w:t xml:space="preserve">: </w:t>
            </w:r>
            <w:r w:rsidR="00B64426">
              <w:t>98%</w:t>
            </w:r>
          </w:p>
          <w:p w:rsidR="00FF4EB0" w:rsidRDefault="00987CD4" w:rsidP="00B72E78">
            <w:pPr>
              <w:pStyle w:val="Prrafodelista"/>
              <w:numPr>
                <w:ilvl w:val="1"/>
                <w:numId w:val="25"/>
              </w:numPr>
              <w:jc w:val="both"/>
            </w:pPr>
            <w:r>
              <w:t xml:space="preserve">Primer Semestre: 98%; </w:t>
            </w:r>
          </w:p>
          <w:p w:rsidR="00FF4EB0" w:rsidRDefault="00987CD4" w:rsidP="00B72E78">
            <w:pPr>
              <w:pStyle w:val="Prrafodelista"/>
              <w:numPr>
                <w:ilvl w:val="1"/>
                <w:numId w:val="25"/>
              </w:numPr>
              <w:jc w:val="both"/>
            </w:pPr>
            <w:r>
              <w:t>Segundo Semestre</w:t>
            </w:r>
            <w:r w:rsidR="00E21528">
              <w:t xml:space="preserve">: </w:t>
            </w:r>
            <w:r>
              <w:t xml:space="preserve">98%; </w:t>
            </w:r>
          </w:p>
          <w:p w:rsidR="00987CD4" w:rsidRDefault="004D4D19" w:rsidP="00B72E78">
            <w:pPr>
              <w:pStyle w:val="Prrafodelista"/>
              <w:numPr>
                <w:ilvl w:val="1"/>
                <w:numId w:val="25"/>
              </w:numPr>
              <w:jc w:val="both"/>
            </w:pPr>
            <w:r>
              <w:t>D</w:t>
            </w:r>
            <w:r w:rsidR="00987CD4">
              <w:t>e 1</w:t>
            </w:r>
            <w:r w:rsidR="00244145">
              <w:t xml:space="preserve">395 </w:t>
            </w:r>
            <w:r w:rsidR="00987CD4">
              <w:t>prácticas docentes realizadas 1</w:t>
            </w:r>
            <w:r w:rsidR="00244145">
              <w:t>381</w:t>
            </w:r>
            <w:r w:rsidR="00987CD4">
              <w:t xml:space="preserve"> han precisado de adecuación de recursos. </w:t>
            </w:r>
          </w:p>
          <w:p w:rsidR="004D4D19" w:rsidRDefault="004D4D19" w:rsidP="00B72E78">
            <w:pPr>
              <w:jc w:val="both"/>
            </w:pPr>
          </w:p>
          <w:p w:rsidR="00FF4EB0" w:rsidRDefault="00987CD4" w:rsidP="00B72E78">
            <w:pPr>
              <w:pStyle w:val="Prrafodelista"/>
              <w:numPr>
                <w:ilvl w:val="0"/>
                <w:numId w:val="26"/>
              </w:numPr>
              <w:jc w:val="both"/>
            </w:pPr>
            <w:proofErr w:type="gramStart"/>
            <w:r>
              <w:t>I.[</w:t>
            </w:r>
            <w:proofErr w:type="gramEnd"/>
            <w:r>
              <w:t>PC 08.2]-</w:t>
            </w:r>
            <w:r w:rsidR="00244145">
              <w:t>15</w:t>
            </w:r>
            <w:r w:rsidR="00B64426">
              <w:t>: 32%</w:t>
            </w:r>
            <w:r>
              <w:t xml:space="preserve">. </w:t>
            </w:r>
          </w:p>
          <w:p w:rsidR="00987CD4" w:rsidRDefault="00987CD4" w:rsidP="00FF4EB0">
            <w:pPr>
              <w:pStyle w:val="Prrafodelista"/>
              <w:numPr>
                <w:ilvl w:val="1"/>
                <w:numId w:val="26"/>
              </w:numPr>
              <w:jc w:val="both"/>
            </w:pPr>
            <w:r>
              <w:t>De un total 2.</w:t>
            </w:r>
            <w:r w:rsidR="00E21528">
              <w:t>053</w:t>
            </w:r>
            <w:r>
              <w:t xml:space="preserve"> solicitudes 6</w:t>
            </w:r>
            <w:r w:rsidR="00E21528">
              <w:t>58</w:t>
            </w:r>
            <w:r>
              <w:t xml:space="preserve"> de ellas han sido de apoyo a la investigación. </w:t>
            </w:r>
          </w:p>
          <w:p w:rsidR="00987CD4" w:rsidRDefault="00987CD4" w:rsidP="00B72E78">
            <w:pPr>
              <w:jc w:val="both"/>
            </w:pPr>
          </w:p>
          <w:p w:rsidR="00987CD4" w:rsidRDefault="00987CD4" w:rsidP="00B72E78">
            <w:pPr>
              <w:jc w:val="both"/>
            </w:pPr>
            <w:r>
              <w:t xml:space="preserve">Asimismo se comprueba la disponibilidad de los valores segmentados por Unidades de Gestión. </w:t>
            </w:r>
          </w:p>
          <w:p w:rsidR="00987CD4" w:rsidRDefault="00987CD4" w:rsidP="00B72E78">
            <w:pPr>
              <w:jc w:val="both"/>
            </w:pPr>
          </w:p>
          <w:p w:rsidR="00987CD4" w:rsidRDefault="00987CD4" w:rsidP="00B72E78">
            <w:pPr>
              <w:jc w:val="both"/>
            </w:pPr>
            <w:r>
              <w:t xml:space="preserve">De otro lado se </w:t>
            </w:r>
            <w:r w:rsidR="00D8506E">
              <w:t>verifica</w:t>
            </w:r>
            <w:r>
              <w:t xml:space="preserve"> el cumplimie</w:t>
            </w:r>
            <w:r w:rsidR="00C9203A">
              <w:t>nto del compromiso de calidad “</w:t>
            </w:r>
            <w:r>
              <w:t>Las solicitudes de adecuación de recursos para prácticas docentes serán realizadas en un 95%” con un valor</w:t>
            </w:r>
            <w:r w:rsidR="00D8506E">
              <w:t xml:space="preserve"> de medición </w:t>
            </w:r>
            <w:r>
              <w:t>del 98%</w:t>
            </w:r>
            <w:r w:rsidR="00E21528">
              <w:t>.</w:t>
            </w:r>
          </w:p>
          <w:p w:rsidR="00E6652A" w:rsidRDefault="00E6652A" w:rsidP="00B72E78">
            <w:pPr>
              <w:jc w:val="both"/>
            </w:pPr>
          </w:p>
        </w:tc>
      </w:tr>
    </w:tbl>
    <w:p w:rsidR="00606927" w:rsidRDefault="00606927"/>
    <w:p w:rsidR="007D3743" w:rsidRDefault="007D3743" w:rsidP="00B0405F">
      <w:pPr>
        <w:spacing w:line="240" w:lineRule="auto"/>
      </w:pPr>
    </w:p>
    <w:p w:rsidR="005C2C38" w:rsidRDefault="005C2C38" w:rsidP="00B0405F">
      <w:pPr>
        <w:spacing w:line="240" w:lineRule="auto"/>
        <w:jc w:val="both"/>
        <w:rPr>
          <w:b/>
        </w:rPr>
      </w:pPr>
      <w:r>
        <w:rPr>
          <w:b/>
        </w:rPr>
        <w:t>RESULTADOS DE RETROALIMENTACIÓN DE LOS GRUPOS DE INTERÉS.</w:t>
      </w:r>
    </w:p>
    <w:p w:rsidR="001F5975" w:rsidRDefault="001F5975" w:rsidP="00B0405F">
      <w:pPr>
        <w:spacing w:line="240" w:lineRule="auto"/>
      </w:pPr>
    </w:p>
    <w:p w:rsidR="00BD5357" w:rsidRDefault="00BD5357" w:rsidP="00B0405F">
      <w:pPr>
        <w:spacing w:line="240" w:lineRule="auto"/>
      </w:pPr>
    </w:p>
    <w:p w:rsidR="00BD5357" w:rsidRDefault="00BD5357" w:rsidP="00C135FD">
      <w:pPr>
        <w:rPr>
          <w:b/>
        </w:rPr>
      </w:pPr>
      <w:r>
        <w:rPr>
          <w:b/>
        </w:rPr>
        <w:t>4</w:t>
      </w:r>
      <w:r w:rsidRPr="00183796">
        <w:rPr>
          <w:b/>
        </w:rPr>
        <w:t xml:space="preserve">.- </w:t>
      </w:r>
      <w:r w:rsidR="00C135FD" w:rsidRPr="0013372C">
        <w:rPr>
          <w:b/>
        </w:rPr>
        <w:t>Q</w:t>
      </w:r>
      <w:r w:rsidR="00C135FD">
        <w:rPr>
          <w:b/>
        </w:rPr>
        <w:t>uejas y Sugerencias e  Información directa de clientes</w:t>
      </w:r>
    </w:p>
    <w:p w:rsidR="00BD5357" w:rsidRPr="00183796" w:rsidRDefault="00BD5357" w:rsidP="00BD5357">
      <w:pPr>
        <w:rPr>
          <w:b/>
        </w:rPr>
      </w:pPr>
    </w:p>
    <w:tbl>
      <w:tblPr>
        <w:tblStyle w:val="Tablaconcuadrcula"/>
        <w:tblW w:w="10740" w:type="dxa"/>
        <w:tblInd w:w="-490" w:type="dxa"/>
        <w:tblLayout w:type="fixed"/>
        <w:tblLook w:val="04A0" w:firstRow="1" w:lastRow="0" w:firstColumn="1" w:lastColumn="0" w:noHBand="0" w:noVBand="1"/>
      </w:tblPr>
      <w:tblGrid>
        <w:gridCol w:w="2518"/>
        <w:gridCol w:w="567"/>
        <w:gridCol w:w="567"/>
        <w:gridCol w:w="2693"/>
        <w:gridCol w:w="567"/>
        <w:gridCol w:w="567"/>
        <w:gridCol w:w="3261"/>
      </w:tblGrid>
      <w:tr w:rsidR="00BD5357" w:rsidTr="004435E0">
        <w:trPr>
          <w:trHeight w:val="120"/>
        </w:trPr>
        <w:tc>
          <w:tcPr>
            <w:tcW w:w="2518" w:type="dxa"/>
            <w:vMerge w:val="restart"/>
            <w:shd w:val="clear" w:color="auto" w:fill="D9D9D9" w:themeFill="background1" w:themeFillShade="D9"/>
            <w:vAlign w:val="center"/>
          </w:tcPr>
          <w:p w:rsidR="00BD5357" w:rsidRPr="00847DD5" w:rsidRDefault="00BD5357" w:rsidP="00FF4EB0">
            <w:pPr>
              <w:rPr>
                <w:b/>
                <w:sz w:val="20"/>
                <w:szCs w:val="20"/>
              </w:rPr>
            </w:pPr>
            <w:r w:rsidRPr="00847DD5">
              <w:rPr>
                <w:b/>
                <w:sz w:val="20"/>
                <w:szCs w:val="20"/>
              </w:rPr>
              <w:t>Q</w:t>
            </w:r>
            <w:r>
              <w:rPr>
                <w:b/>
                <w:sz w:val="20"/>
                <w:szCs w:val="20"/>
              </w:rPr>
              <w:t>uejas</w:t>
            </w:r>
            <w:r w:rsidR="00273546">
              <w:rPr>
                <w:b/>
                <w:sz w:val="20"/>
                <w:szCs w:val="20"/>
              </w:rPr>
              <w:t xml:space="preserve"> </w:t>
            </w:r>
          </w:p>
        </w:tc>
        <w:tc>
          <w:tcPr>
            <w:tcW w:w="1134" w:type="dxa"/>
            <w:gridSpan w:val="2"/>
            <w:vAlign w:val="center"/>
          </w:tcPr>
          <w:p w:rsidR="00BD5357" w:rsidRPr="00847DD5" w:rsidRDefault="00BD5357" w:rsidP="004435E0">
            <w:pPr>
              <w:jc w:val="center"/>
              <w:rPr>
                <w:sz w:val="18"/>
                <w:szCs w:val="18"/>
              </w:rPr>
            </w:pPr>
            <w:r>
              <w:rPr>
                <w:sz w:val="18"/>
                <w:szCs w:val="18"/>
              </w:rPr>
              <w:t>Respuesta en plazo</w:t>
            </w:r>
          </w:p>
        </w:tc>
        <w:tc>
          <w:tcPr>
            <w:tcW w:w="2693" w:type="dxa"/>
            <w:vMerge w:val="restart"/>
            <w:vAlign w:val="center"/>
          </w:tcPr>
          <w:p w:rsidR="00BD5357" w:rsidRPr="00847DD5" w:rsidRDefault="00BD5357" w:rsidP="004435E0">
            <w:pPr>
              <w:jc w:val="center"/>
              <w:rPr>
                <w:sz w:val="18"/>
                <w:szCs w:val="18"/>
              </w:rPr>
            </w:pPr>
            <w:r w:rsidRPr="00847DD5">
              <w:rPr>
                <w:sz w:val="18"/>
                <w:szCs w:val="18"/>
              </w:rPr>
              <w:t>Valoración por la Unidad</w:t>
            </w:r>
            <w:r>
              <w:rPr>
                <w:sz w:val="18"/>
                <w:szCs w:val="18"/>
              </w:rPr>
              <w:t xml:space="preserve"> (se han realizado gestiones, actuaciones…)</w:t>
            </w:r>
          </w:p>
        </w:tc>
        <w:tc>
          <w:tcPr>
            <w:tcW w:w="1134" w:type="dxa"/>
            <w:gridSpan w:val="2"/>
            <w:vAlign w:val="center"/>
          </w:tcPr>
          <w:p w:rsidR="00BD5357" w:rsidRPr="00847DD5" w:rsidRDefault="00BD5357" w:rsidP="004435E0">
            <w:pPr>
              <w:jc w:val="center"/>
              <w:rPr>
                <w:sz w:val="18"/>
                <w:szCs w:val="18"/>
              </w:rPr>
            </w:pPr>
            <w:r w:rsidRPr="00847DD5">
              <w:rPr>
                <w:sz w:val="18"/>
                <w:szCs w:val="18"/>
              </w:rPr>
              <w:t>Mejoras realizadas</w:t>
            </w:r>
          </w:p>
        </w:tc>
        <w:tc>
          <w:tcPr>
            <w:tcW w:w="3261" w:type="dxa"/>
            <w:vMerge w:val="restart"/>
            <w:vAlign w:val="center"/>
          </w:tcPr>
          <w:p w:rsidR="00BD5357" w:rsidRPr="00847DD5" w:rsidRDefault="00BD5357" w:rsidP="004435E0">
            <w:pPr>
              <w:jc w:val="center"/>
              <w:rPr>
                <w:sz w:val="18"/>
                <w:szCs w:val="18"/>
              </w:rPr>
            </w:pPr>
            <w:r>
              <w:rPr>
                <w:sz w:val="18"/>
                <w:szCs w:val="18"/>
              </w:rPr>
              <w:t>Valoración de auditoría de las mejoras implantadas</w:t>
            </w:r>
          </w:p>
        </w:tc>
      </w:tr>
      <w:tr w:rsidR="00BD5357" w:rsidTr="004435E0">
        <w:trPr>
          <w:trHeight w:val="120"/>
        </w:trPr>
        <w:tc>
          <w:tcPr>
            <w:tcW w:w="2518" w:type="dxa"/>
            <w:vMerge/>
            <w:shd w:val="clear" w:color="auto" w:fill="D9D9D9" w:themeFill="background1" w:themeFillShade="D9"/>
            <w:vAlign w:val="center"/>
          </w:tcPr>
          <w:p w:rsidR="00BD5357" w:rsidRPr="00847DD5" w:rsidRDefault="00BD5357" w:rsidP="004435E0">
            <w:pPr>
              <w:rPr>
                <w:b/>
                <w:sz w:val="20"/>
                <w:szCs w:val="20"/>
              </w:rPr>
            </w:pPr>
          </w:p>
        </w:tc>
        <w:tc>
          <w:tcPr>
            <w:tcW w:w="567" w:type="dxa"/>
            <w:vAlign w:val="center"/>
          </w:tcPr>
          <w:p w:rsidR="00BD5357" w:rsidRPr="00847DD5" w:rsidRDefault="00BD5357" w:rsidP="004435E0">
            <w:pPr>
              <w:jc w:val="center"/>
              <w:rPr>
                <w:sz w:val="18"/>
                <w:szCs w:val="18"/>
              </w:rPr>
            </w:pPr>
            <w:r>
              <w:rPr>
                <w:sz w:val="18"/>
                <w:szCs w:val="18"/>
              </w:rPr>
              <w:t>Sí</w:t>
            </w:r>
          </w:p>
        </w:tc>
        <w:tc>
          <w:tcPr>
            <w:tcW w:w="567" w:type="dxa"/>
            <w:vAlign w:val="center"/>
          </w:tcPr>
          <w:p w:rsidR="00BD5357" w:rsidRPr="00847DD5" w:rsidRDefault="00BD5357" w:rsidP="004435E0">
            <w:pPr>
              <w:jc w:val="center"/>
              <w:rPr>
                <w:sz w:val="18"/>
                <w:szCs w:val="18"/>
              </w:rPr>
            </w:pPr>
            <w:r>
              <w:rPr>
                <w:sz w:val="18"/>
                <w:szCs w:val="18"/>
              </w:rPr>
              <w:t>No</w:t>
            </w:r>
          </w:p>
        </w:tc>
        <w:tc>
          <w:tcPr>
            <w:tcW w:w="2693" w:type="dxa"/>
            <w:vMerge/>
            <w:vAlign w:val="center"/>
          </w:tcPr>
          <w:p w:rsidR="00BD5357" w:rsidRPr="00847DD5" w:rsidRDefault="00BD5357" w:rsidP="004435E0">
            <w:pPr>
              <w:jc w:val="center"/>
              <w:rPr>
                <w:sz w:val="18"/>
                <w:szCs w:val="18"/>
              </w:rPr>
            </w:pPr>
          </w:p>
        </w:tc>
        <w:tc>
          <w:tcPr>
            <w:tcW w:w="567" w:type="dxa"/>
            <w:vAlign w:val="center"/>
          </w:tcPr>
          <w:p w:rsidR="00BD5357" w:rsidRPr="00847DD5" w:rsidRDefault="00BD5357" w:rsidP="004435E0">
            <w:pPr>
              <w:jc w:val="center"/>
              <w:rPr>
                <w:sz w:val="18"/>
                <w:szCs w:val="18"/>
              </w:rPr>
            </w:pPr>
            <w:r>
              <w:rPr>
                <w:sz w:val="18"/>
                <w:szCs w:val="18"/>
              </w:rPr>
              <w:t>Sí</w:t>
            </w:r>
          </w:p>
        </w:tc>
        <w:tc>
          <w:tcPr>
            <w:tcW w:w="567" w:type="dxa"/>
            <w:vAlign w:val="center"/>
          </w:tcPr>
          <w:p w:rsidR="00BD5357" w:rsidRPr="00847DD5" w:rsidRDefault="00BD5357" w:rsidP="004435E0">
            <w:pPr>
              <w:jc w:val="center"/>
              <w:rPr>
                <w:sz w:val="18"/>
                <w:szCs w:val="18"/>
              </w:rPr>
            </w:pPr>
            <w:r>
              <w:rPr>
                <w:sz w:val="18"/>
                <w:szCs w:val="18"/>
              </w:rPr>
              <w:t>No</w:t>
            </w:r>
          </w:p>
        </w:tc>
        <w:tc>
          <w:tcPr>
            <w:tcW w:w="3261" w:type="dxa"/>
            <w:vMerge/>
            <w:vAlign w:val="center"/>
          </w:tcPr>
          <w:p w:rsidR="00BD5357" w:rsidRPr="00847DD5" w:rsidRDefault="00BD5357" w:rsidP="004435E0">
            <w:pPr>
              <w:jc w:val="center"/>
              <w:rPr>
                <w:sz w:val="18"/>
                <w:szCs w:val="18"/>
              </w:rPr>
            </w:pPr>
          </w:p>
        </w:tc>
      </w:tr>
      <w:tr w:rsidR="00773C28" w:rsidTr="004435E0">
        <w:tc>
          <w:tcPr>
            <w:tcW w:w="2518" w:type="dxa"/>
            <w:shd w:val="clear" w:color="auto" w:fill="D9D9D9" w:themeFill="background1" w:themeFillShade="D9"/>
            <w:vAlign w:val="center"/>
          </w:tcPr>
          <w:p w:rsidR="00773C28" w:rsidRPr="004F10E9" w:rsidRDefault="00FF4EB0" w:rsidP="004435E0">
            <w:pPr>
              <w:rPr>
                <w:sz w:val="20"/>
                <w:szCs w:val="20"/>
              </w:rPr>
            </w:pPr>
            <w:r w:rsidRPr="00273546">
              <w:rPr>
                <w:b/>
                <w:color w:val="FF0000"/>
                <w:sz w:val="20"/>
                <w:szCs w:val="20"/>
              </w:rPr>
              <w:t>(NO TIENE)</w:t>
            </w:r>
          </w:p>
        </w:tc>
        <w:tc>
          <w:tcPr>
            <w:tcW w:w="567" w:type="dxa"/>
          </w:tcPr>
          <w:p w:rsidR="00773C28" w:rsidRPr="00847DD5" w:rsidRDefault="00773C28" w:rsidP="004435E0">
            <w:pPr>
              <w:rPr>
                <w:sz w:val="18"/>
                <w:szCs w:val="18"/>
              </w:rPr>
            </w:pPr>
          </w:p>
        </w:tc>
        <w:tc>
          <w:tcPr>
            <w:tcW w:w="567" w:type="dxa"/>
            <w:vAlign w:val="center"/>
          </w:tcPr>
          <w:p w:rsidR="00773C28" w:rsidRPr="00847DD5" w:rsidRDefault="00773C28" w:rsidP="004435E0">
            <w:pPr>
              <w:jc w:val="center"/>
              <w:rPr>
                <w:sz w:val="18"/>
                <w:szCs w:val="18"/>
              </w:rPr>
            </w:pPr>
          </w:p>
        </w:tc>
        <w:tc>
          <w:tcPr>
            <w:tcW w:w="2693" w:type="dxa"/>
            <w:vAlign w:val="center"/>
          </w:tcPr>
          <w:p w:rsidR="00773C28" w:rsidRPr="00847DD5" w:rsidRDefault="00773C28" w:rsidP="004435E0">
            <w:pPr>
              <w:rPr>
                <w:sz w:val="18"/>
                <w:szCs w:val="18"/>
              </w:rPr>
            </w:pPr>
          </w:p>
        </w:tc>
        <w:tc>
          <w:tcPr>
            <w:tcW w:w="567" w:type="dxa"/>
            <w:vAlign w:val="center"/>
          </w:tcPr>
          <w:p w:rsidR="00773C28" w:rsidRPr="00847DD5" w:rsidRDefault="00773C28" w:rsidP="004435E0">
            <w:pPr>
              <w:jc w:val="center"/>
              <w:rPr>
                <w:sz w:val="18"/>
                <w:szCs w:val="18"/>
              </w:rPr>
            </w:pPr>
          </w:p>
        </w:tc>
        <w:tc>
          <w:tcPr>
            <w:tcW w:w="567" w:type="dxa"/>
            <w:vAlign w:val="center"/>
          </w:tcPr>
          <w:p w:rsidR="00773C28" w:rsidRPr="00847DD5" w:rsidRDefault="00773C28" w:rsidP="004435E0">
            <w:pPr>
              <w:jc w:val="center"/>
              <w:rPr>
                <w:sz w:val="18"/>
                <w:szCs w:val="18"/>
              </w:rPr>
            </w:pPr>
          </w:p>
        </w:tc>
        <w:tc>
          <w:tcPr>
            <w:tcW w:w="3261" w:type="dxa"/>
            <w:vAlign w:val="center"/>
          </w:tcPr>
          <w:p w:rsidR="00773C28" w:rsidRPr="00847DD5" w:rsidRDefault="00773C28" w:rsidP="004435E0">
            <w:pPr>
              <w:rPr>
                <w:sz w:val="18"/>
                <w:szCs w:val="18"/>
              </w:rPr>
            </w:pPr>
          </w:p>
        </w:tc>
      </w:tr>
      <w:tr w:rsidR="00BD5357" w:rsidTr="004435E0">
        <w:trPr>
          <w:trHeight w:val="857"/>
        </w:trPr>
        <w:tc>
          <w:tcPr>
            <w:tcW w:w="2518" w:type="dxa"/>
            <w:shd w:val="clear" w:color="auto" w:fill="D9D9D9" w:themeFill="background1" w:themeFillShade="D9"/>
            <w:vAlign w:val="center"/>
          </w:tcPr>
          <w:p w:rsidR="00BD5357" w:rsidRPr="00847DD5" w:rsidRDefault="00BD5357" w:rsidP="004435E0">
            <w:pPr>
              <w:rPr>
                <w:b/>
                <w:sz w:val="20"/>
                <w:szCs w:val="20"/>
              </w:rPr>
            </w:pPr>
            <w:r w:rsidRPr="00847DD5">
              <w:rPr>
                <w:b/>
                <w:sz w:val="20"/>
                <w:szCs w:val="20"/>
              </w:rPr>
              <w:t>Valoración de auditoría</w:t>
            </w:r>
          </w:p>
        </w:tc>
        <w:tc>
          <w:tcPr>
            <w:tcW w:w="8222" w:type="dxa"/>
            <w:gridSpan w:val="6"/>
          </w:tcPr>
          <w:p w:rsidR="00BD5357" w:rsidRDefault="006B3303" w:rsidP="006B3303">
            <w:r w:rsidRPr="00065350">
              <w:rPr>
                <w:sz w:val="20"/>
                <w:szCs w:val="20"/>
              </w:rPr>
              <w:t xml:space="preserve">No consta la existencia de </w:t>
            </w:r>
            <w:r>
              <w:rPr>
                <w:sz w:val="20"/>
                <w:szCs w:val="20"/>
              </w:rPr>
              <w:t>quejas</w:t>
            </w:r>
            <w:r w:rsidRPr="00065350">
              <w:rPr>
                <w:sz w:val="20"/>
                <w:szCs w:val="20"/>
              </w:rPr>
              <w:t xml:space="preserve"> en la prestación de los servicios de la Unidad de </w:t>
            </w:r>
            <w:r w:rsidR="00D8506E">
              <w:rPr>
                <w:sz w:val="20"/>
                <w:szCs w:val="20"/>
              </w:rPr>
              <w:t>Técnicos de Laboratorio</w:t>
            </w:r>
          </w:p>
        </w:tc>
      </w:tr>
    </w:tbl>
    <w:p w:rsidR="00BD5357" w:rsidRDefault="00BD5357" w:rsidP="00BD5357"/>
    <w:p w:rsidR="00BD5357" w:rsidRDefault="00BD5357" w:rsidP="00BD5357"/>
    <w:tbl>
      <w:tblPr>
        <w:tblStyle w:val="Tablaconcuadrcula"/>
        <w:tblW w:w="10740" w:type="dxa"/>
        <w:tblInd w:w="-490" w:type="dxa"/>
        <w:tblLayout w:type="fixed"/>
        <w:tblLook w:val="04A0" w:firstRow="1" w:lastRow="0" w:firstColumn="1" w:lastColumn="0" w:noHBand="0" w:noVBand="1"/>
      </w:tblPr>
      <w:tblGrid>
        <w:gridCol w:w="2518"/>
        <w:gridCol w:w="567"/>
        <w:gridCol w:w="567"/>
        <w:gridCol w:w="2693"/>
        <w:gridCol w:w="567"/>
        <w:gridCol w:w="567"/>
        <w:gridCol w:w="3261"/>
      </w:tblGrid>
      <w:tr w:rsidR="00BD5357" w:rsidTr="004435E0">
        <w:trPr>
          <w:trHeight w:val="120"/>
        </w:trPr>
        <w:tc>
          <w:tcPr>
            <w:tcW w:w="2518" w:type="dxa"/>
            <w:vMerge w:val="restart"/>
            <w:shd w:val="clear" w:color="auto" w:fill="D9D9D9" w:themeFill="background1" w:themeFillShade="D9"/>
            <w:vAlign w:val="center"/>
          </w:tcPr>
          <w:p w:rsidR="00BD5357" w:rsidRPr="00847DD5" w:rsidRDefault="00BD5357" w:rsidP="00FF4EB0">
            <w:pPr>
              <w:rPr>
                <w:b/>
                <w:sz w:val="20"/>
                <w:szCs w:val="20"/>
              </w:rPr>
            </w:pPr>
            <w:r w:rsidRPr="00847DD5">
              <w:rPr>
                <w:b/>
                <w:sz w:val="20"/>
                <w:szCs w:val="20"/>
              </w:rPr>
              <w:t>Sugerencia</w:t>
            </w:r>
            <w:r>
              <w:rPr>
                <w:b/>
                <w:sz w:val="20"/>
                <w:szCs w:val="20"/>
              </w:rPr>
              <w:t>s</w:t>
            </w:r>
            <w:r w:rsidR="00273546">
              <w:rPr>
                <w:b/>
                <w:sz w:val="20"/>
                <w:szCs w:val="20"/>
              </w:rPr>
              <w:t xml:space="preserve"> </w:t>
            </w:r>
          </w:p>
        </w:tc>
        <w:tc>
          <w:tcPr>
            <w:tcW w:w="1134" w:type="dxa"/>
            <w:gridSpan w:val="2"/>
            <w:vAlign w:val="center"/>
          </w:tcPr>
          <w:p w:rsidR="00BD5357" w:rsidRPr="00847DD5" w:rsidRDefault="00BD5357" w:rsidP="004435E0">
            <w:pPr>
              <w:jc w:val="center"/>
              <w:rPr>
                <w:sz w:val="18"/>
                <w:szCs w:val="18"/>
              </w:rPr>
            </w:pPr>
            <w:r>
              <w:rPr>
                <w:sz w:val="18"/>
                <w:szCs w:val="18"/>
              </w:rPr>
              <w:t>Respuesta en plazo</w:t>
            </w:r>
          </w:p>
        </w:tc>
        <w:tc>
          <w:tcPr>
            <w:tcW w:w="2693" w:type="dxa"/>
            <w:vMerge w:val="restart"/>
            <w:vAlign w:val="center"/>
          </w:tcPr>
          <w:p w:rsidR="00BD5357" w:rsidRPr="00847DD5" w:rsidRDefault="00BD5357" w:rsidP="004435E0">
            <w:pPr>
              <w:jc w:val="center"/>
              <w:rPr>
                <w:sz w:val="18"/>
                <w:szCs w:val="18"/>
              </w:rPr>
            </w:pPr>
            <w:r w:rsidRPr="00847DD5">
              <w:rPr>
                <w:sz w:val="18"/>
                <w:szCs w:val="18"/>
              </w:rPr>
              <w:t>Valoración por la Unidad</w:t>
            </w:r>
            <w:r>
              <w:rPr>
                <w:sz w:val="18"/>
                <w:szCs w:val="18"/>
              </w:rPr>
              <w:t xml:space="preserve"> (se han realizado gestiones, actuaciones…)</w:t>
            </w:r>
          </w:p>
        </w:tc>
        <w:tc>
          <w:tcPr>
            <w:tcW w:w="1134" w:type="dxa"/>
            <w:gridSpan w:val="2"/>
            <w:vAlign w:val="center"/>
          </w:tcPr>
          <w:p w:rsidR="00BD5357" w:rsidRPr="00847DD5" w:rsidRDefault="00BD5357" w:rsidP="004435E0">
            <w:pPr>
              <w:jc w:val="center"/>
              <w:rPr>
                <w:sz w:val="18"/>
                <w:szCs w:val="18"/>
              </w:rPr>
            </w:pPr>
            <w:r w:rsidRPr="00847DD5">
              <w:rPr>
                <w:sz w:val="18"/>
                <w:szCs w:val="18"/>
              </w:rPr>
              <w:t>Mejoras realizadas</w:t>
            </w:r>
          </w:p>
        </w:tc>
        <w:tc>
          <w:tcPr>
            <w:tcW w:w="3261" w:type="dxa"/>
            <w:vMerge w:val="restart"/>
            <w:vAlign w:val="center"/>
          </w:tcPr>
          <w:p w:rsidR="00BD5357" w:rsidRPr="00847DD5" w:rsidRDefault="00BD5357" w:rsidP="004435E0">
            <w:pPr>
              <w:jc w:val="center"/>
              <w:rPr>
                <w:sz w:val="18"/>
                <w:szCs w:val="18"/>
              </w:rPr>
            </w:pPr>
            <w:r>
              <w:rPr>
                <w:sz w:val="18"/>
                <w:szCs w:val="18"/>
              </w:rPr>
              <w:t>Valoración de auditoría de las mejoras implantadas</w:t>
            </w:r>
          </w:p>
        </w:tc>
      </w:tr>
      <w:tr w:rsidR="00BD5357" w:rsidTr="004435E0">
        <w:trPr>
          <w:trHeight w:val="120"/>
        </w:trPr>
        <w:tc>
          <w:tcPr>
            <w:tcW w:w="2518" w:type="dxa"/>
            <w:vMerge/>
            <w:shd w:val="clear" w:color="auto" w:fill="D9D9D9" w:themeFill="background1" w:themeFillShade="D9"/>
            <w:vAlign w:val="center"/>
          </w:tcPr>
          <w:p w:rsidR="00BD5357" w:rsidRPr="00847DD5" w:rsidRDefault="00BD5357" w:rsidP="004435E0">
            <w:pPr>
              <w:rPr>
                <w:b/>
                <w:sz w:val="20"/>
                <w:szCs w:val="20"/>
              </w:rPr>
            </w:pPr>
          </w:p>
        </w:tc>
        <w:tc>
          <w:tcPr>
            <w:tcW w:w="567" w:type="dxa"/>
            <w:vAlign w:val="center"/>
          </w:tcPr>
          <w:p w:rsidR="00BD5357" w:rsidRPr="00847DD5" w:rsidRDefault="00BD5357" w:rsidP="004435E0">
            <w:pPr>
              <w:jc w:val="center"/>
              <w:rPr>
                <w:sz w:val="18"/>
                <w:szCs w:val="18"/>
              </w:rPr>
            </w:pPr>
            <w:r>
              <w:rPr>
                <w:sz w:val="18"/>
                <w:szCs w:val="18"/>
              </w:rPr>
              <w:t>Sí</w:t>
            </w:r>
          </w:p>
        </w:tc>
        <w:tc>
          <w:tcPr>
            <w:tcW w:w="567" w:type="dxa"/>
            <w:vAlign w:val="center"/>
          </w:tcPr>
          <w:p w:rsidR="00BD5357" w:rsidRPr="00847DD5" w:rsidRDefault="00BD5357" w:rsidP="004435E0">
            <w:pPr>
              <w:jc w:val="center"/>
              <w:rPr>
                <w:sz w:val="18"/>
                <w:szCs w:val="18"/>
              </w:rPr>
            </w:pPr>
            <w:r>
              <w:rPr>
                <w:sz w:val="18"/>
                <w:szCs w:val="18"/>
              </w:rPr>
              <w:t>No</w:t>
            </w:r>
          </w:p>
        </w:tc>
        <w:tc>
          <w:tcPr>
            <w:tcW w:w="2693" w:type="dxa"/>
            <w:vMerge/>
            <w:vAlign w:val="center"/>
          </w:tcPr>
          <w:p w:rsidR="00BD5357" w:rsidRPr="00847DD5" w:rsidRDefault="00BD5357" w:rsidP="004435E0">
            <w:pPr>
              <w:jc w:val="center"/>
              <w:rPr>
                <w:sz w:val="18"/>
                <w:szCs w:val="18"/>
              </w:rPr>
            </w:pPr>
          </w:p>
        </w:tc>
        <w:tc>
          <w:tcPr>
            <w:tcW w:w="567" w:type="dxa"/>
            <w:vAlign w:val="center"/>
          </w:tcPr>
          <w:p w:rsidR="00BD5357" w:rsidRPr="00847DD5" w:rsidRDefault="00BD5357" w:rsidP="004435E0">
            <w:pPr>
              <w:jc w:val="center"/>
              <w:rPr>
                <w:sz w:val="18"/>
                <w:szCs w:val="18"/>
              </w:rPr>
            </w:pPr>
            <w:r>
              <w:rPr>
                <w:sz w:val="18"/>
                <w:szCs w:val="18"/>
              </w:rPr>
              <w:t>Sí</w:t>
            </w:r>
          </w:p>
        </w:tc>
        <w:tc>
          <w:tcPr>
            <w:tcW w:w="567" w:type="dxa"/>
            <w:vAlign w:val="center"/>
          </w:tcPr>
          <w:p w:rsidR="00BD5357" w:rsidRPr="00847DD5" w:rsidRDefault="00BD5357" w:rsidP="004435E0">
            <w:pPr>
              <w:jc w:val="center"/>
              <w:rPr>
                <w:sz w:val="18"/>
                <w:szCs w:val="18"/>
              </w:rPr>
            </w:pPr>
            <w:r>
              <w:rPr>
                <w:sz w:val="18"/>
                <w:szCs w:val="18"/>
              </w:rPr>
              <w:t>No</w:t>
            </w:r>
          </w:p>
        </w:tc>
        <w:tc>
          <w:tcPr>
            <w:tcW w:w="3261" w:type="dxa"/>
            <w:vMerge/>
            <w:vAlign w:val="center"/>
          </w:tcPr>
          <w:p w:rsidR="00BD5357" w:rsidRPr="00847DD5" w:rsidRDefault="00BD5357" w:rsidP="004435E0">
            <w:pPr>
              <w:jc w:val="center"/>
              <w:rPr>
                <w:sz w:val="18"/>
                <w:szCs w:val="18"/>
              </w:rPr>
            </w:pPr>
          </w:p>
        </w:tc>
      </w:tr>
      <w:tr w:rsidR="00773C28" w:rsidTr="004435E0">
        <w:tc>
          <w:tcPr>
            <w:tcW w:w="2518" w:type="dxa"/>
            <w:shd w:val="clear" w:color="auto" w:fill="D9D9D9" w:themeFill="background1" w:themeFillShade="D9"/>
            <w:vAlign w:val="center"/>
          </w:tcPr>
          <w:p w:rsidR="00773C28" w:rsidRPr="00A22A58" w:rsidRDefault="00FF4EB0" w:rsidP="004435E0">
            <w:pPr>
              <w:rPr>
                <w:sz w:val="20"/>
                <w:szCs w:val="20"/>
              </w:rPr>
            </w:pPr>
            <w:r w:rsidRPr="00273546">
              <w:rPr>
                <w:b/>
                <w:color w:val="FF0000"/>
                <w:sz w:val="20"/>
                <w:szCs w:val="20"/>
              </w:rPr>
              <w:t>(NO TIENE)</w:t>
            </w:r>
          </w:p>
        </w:tc>
        <w:tc>
          <w:tcPr>
            <w:tcW w:w="567" w:type="dxa"/>
          </w:tcPr>
          <w:p w:rsidR="00773C28" w:rsidRPr="00847DD5" w:rsidRDefault="00773C28" w:rsidP="004435E0">
            <w:pPr>
              <w:rPr>
                <w:sz w:val="18"/>
                <w:szCs w:val="18"/>
              </w:rPr>
            </w:pPr>
          </w:p>
        </w:tc>
        <w:tc>
          <w:tcPr>
            <w:tcW w:w="567" w:type="dxa"/>
            <w:vAlign w:val="center"/>
          </w:tcPr>
          <w:p w:rsidR="00773C28" w:rsidRPr="00847DD5" w:rsidRDefault="00773C28" w:rsidP="004435E0">
            <w:pPr>
              <w:jc w:val="center"/>
              <w:rPr>
                <w:sz w:val="18"/>
                <w:szCs w:val="18"/>
              </w:rPr>
            </w:pPr>
          </w:p>
        </w:tc>
        <w:tc>
          <w:tcPr>
            <w:tcW w:w="2693" w:type="dxa"/>
            <w:vAlign w:val="center"/>
          </w:tcPr>
          <w:p w:rsidR="00773C28" w:rsidRPr="00847DD5" w:rsidRDefault="00773C28" w:rsidP="004435E0">
            <w:pPr>
              <w:rPr>
                <w:sz w:val="18"/>
                <w:szCs w:val="18"/>
              </w:rPr>
            </w:pPr>
          </w:p>
        </w:tc>
        <w:tc>
          <w:tcPr>
            <w:tcW w:w="567" w:type="dxa"/>
            <w:vAlign w:val="center"/>
          </w:tcPr>
          <w:p w:rsidR="00773C28" w:rsidRPr="00847DD5" w:rsidRDefault="00773C28" w:rsidP="004435E0">
            <w:pPr>
              <w:jc w:val="center"/>
              <w:rPr>
                <w:sz w:val="18"/>
                <w:szCs w:val="18"/>
              </w:rPr>
            </w:pPr>
          </w:p>
        </w:tc>
        <w:tc>
          <w:tcPr>
            <w:tcW w:w="567" w:type="dxa"/>
            <w:vAlign w:val="center"/>
          </w:tcPr>
          <w:p w:rsidR="00773C28" w:rsidRPr="00847DD5" w:rsidRDefault="00773C28" w:rsidP="004435E0">
            <w:pPr>
              <w:rPr>
                <w:sz w:val="18"/>
                <w:szCs w:val="18"/>
              </w:rPr>
            </w:pPr>
          </w:p>
        </w:tc>
        <w:tc>
          <w:tcPr>
            <w:tcW w:w="3261" w:type="dxa"/>
            <w:vAlign w:val="center"/>
          </w:tcPr>
          <w:p w:rsidR="00773C28" w:rsidRPr="00847DD5" w:rsidRDefault="00773C28" w:rsidP="004435E0">
            <w:pPr>
              <w:rPr>
                <w:sz w:val="18"/>
                <w:szCs w:val="18"/>
              </w:rPr>
            </w:pPr>
          </w:p>
        </w:tc>
      </w:tr>
      <w:tr w:rsidR="006B3303" w:rsidTr="004435E0">
        <w:trPr>
          <w:trHeight w:val="857"/>
        </w:trPr>
        <w:tc>
          <w:tcPr>
            <w:tcW w:w="2518" w:type="dxa"/>
            <w:shd w:val="clear" w:color="auto" w:fill="D9D9D9" w:themeFill="background1" w:themeFillShade="D9"/>
            <w:vAlign w:val="center"/>
          </w:tcPr>
          <w:p w:rsidR="006B3303" w:rsidRPr="00847DD5" w:rsidRDefault="006B3303" w:rsidP="004435E0">
            <w:pPr>
              <w:rPr>
                <w:b/>
                <w:sz w:val="20"/>
                <w:szCs w:val="20"/>
              </w:rPr>
            </w:pPr>
            <w:r w:rsidRPr="00847DD5">
              <w:rPr>
                <w:b/>
                <w:sz w:val="20"/>
                <w:szCs w:val="20"/>
              </w:rPr>
              <w:t>Valoración de auditoría</w:t>
            </w:r>
          </w:p>
        </w:tc>
        <w:tc>
          <w:tcPr>
            <w:tcW w:w="8222" w:type="dxa"/>
            <w:gridSpan w:val="6"/>
          </w:tcPr>
          <w:p w:rsidR="006B3303" w:rsidRDefault="006B3303" w:rsidP="00D8506E">
            <w:r w:rsidRPr="00065350">
              <w:rPr>
                <w:sz w:val="20"/>
                <w:szCs w:val="20"/>
              </w:rPr>
              <w:t xml:space="preserve">No consta la existencia de </w:t>
            </w:r>
            <w:r>
              <w:rPr>
                <w:sz w:val="20"/>
                <w:szCs w:val="20"/>
              </w:rPr>
              <w:t>sugerencias</w:t>
            </w:r>
            <w:r w:rsidRPr="00065350">
              <w:rPr>
                <w:sz w:val="20"/>
                <w:szCs w:val="20"/>
              </w:rPr>
              <w:t xml:space="preserve"> en la prestación de los servicios de la Unidad de </w:t>
            </w:r>
            <w:r w:rsidR="00D8506E">
              <w:rPr>
                <w:sz w:val="20"/>
                <w:szCs w:val="20"/>
              </w:rPr>
              <w:t>Técnicos de Laboratorio</w:t>
            </w:r>
          </w:p>
        </w:tc>
      </w:tr>
    </w:tbl>
    <w:p w:rsidR="00BD5357" w:rsidRDefault="00BD5357" w:rsidP="00B0405F">
      <w:pPr>
        <w:spacing w:line="240" w:lineRule="auto"/>
      </w:pPr>
    </w:p>
    <w:p w:rsidR="00BD5357" w:rsidRDefault="00BD5357" w:rsidP="00B0405F">
      <w:pPr>
        <w:spacing w:line="240" w:lineRule="auto"/>
      </w:pPr>
    </w:p>
    <w:tbl>
      <w:tblPr>
        <w:tblStyle w:val="Tablaconcuadrcula"/>
        <w:tblW w:w="10856" w:type="dxa"/>
        <w:tblInd w:w="-459" w:type="dxa"/>
        <w:tblLayout w:type="fixed"/>
        <w:tblLook w:val="04A0" w:firstRow="1" w:lastRow="0" w:firstColumn="1" w:lastColumn="0" w:noHBand="0" w:noVBand="1"/>
      </w:tblPr>
      <w:tblGrid>
        <w:gridCol w:w="1983"/>
        <w:gridCol w:w="1908"/>
        <w:gridCol w:w="3324"/>
        <w:gridCol w:w="582"/>
        <w:gridCol w:w="629"/>
        <w:gridCol w:w="2430"/>
      </w:tblGrid>
      <w:tr w:rsidR="00F51AF5" w:rsidTr="00D53AF3">
        <w:trPr>
          <w:trHeight w:val="120"/>
        </w:trPr>
        <w:tc>
          <w:tcPr>
            <w:tcW w:w="1983" w:type="dxa"/>
            <w:vMerge w:val="restart"/>
            <w:shd w:val="clear" w:color="auto" w:fill="D9D9D9" w:themeFill="background1" w:themeFillShade="D9"/>
            <w:vAlign w:val="bottom"/>
          </w:tcPr>
          <w:p w:rsidR="00F51AF5" w:rsidRDefault="00F51AF5" w:rsidP="00D53AF3">
            <w:pPr>
              <w:rPr>
                <w:b/>
              </w:rPr>
            </w:pPr>
            <w:r w:rsidRPr="009058B9">
              <w:rPr>
                <w:b/>
              </w:rPr>
              <w:t>Información directa de clientes</w:t>
            </w:r>
          </w:p>
          <w:p w:rsidR="00D53AF3" w:rsidRPr="00847DD5" w:rsidRDefault="00D53AF3" w:rsidP="00D53AF3">
            <w:pPr>
              <w:rPr>
                <w:b/>
                <w:sz w:val="20"/>
                <w:szCs w:val="20"/>
              </w:rPr>
            </w:pPr>
          </w:p>
        </w:tc>
        <w:tc>
          <w:tcPr>
            <w:tcW w:w="1908" w:type="dxa"/>
            <w:vMerge w:val="restart"/>
            <w:vAlign w:val="center"/>
          </w:tcPr>
          <w:p w:rsidR="00F51AF5" w:rsidRPr="00D53AF3" w:rsidRDefault="000C1828" w:rsidP="00D53AF3">
            <w:pPr>
              <w:rPr>
                <w:sz w:val="18"/>
                <w:szCs w:val="18"/>
              </w:rPr>
            </w:pPr>
            <w:r w:rsidRPr="00D53AF3">
              <w:rPr>
                <w:sz w:val="18"/>
                <w:szCs w:val="18"/>
              </w:rPr>
              <w:t>Canal de Entrada</w:t>
            </w:r>
          </w:p>
          <w:p w:rsidR="00F51AF5" w:rsidRPr="00847DD5" w:rsidRDefault="00F51AF5" w:rsidP="00D53AF3">
            <w:pPr>
              <w:rPr>
                <w:sz w:val="18"/>
                <w:szCs w:val="18"/>
              </w:rPr>
            </w:pPr>
          </w:p>
        </w:tc>
        <w:tc>
          <w:tcPr>
            <w:tcW w:w="3324" w:type="dxa"/>
            <w:vMerge w:val="restart"/>
            <w:vAlign w:val="center"/>
          </w:tcPr>
          <w:p w:rsidR="00F51AF5" w:rsidRPr="00847DD5" w:rsidRDefault="00F51AF5" w:rsidP="004435E0">
            <w:pPr>
              <w:jc w:val="center"/>
              <w:rPr>
                <w:sz w:val="18"/>
                <w:szCs w:val="18"/>
              </w:rPr>
            </w:pPr>
            <w:r w:rsidRPr="00847DD5">
              <w:rPr>
                <w:sz w:val="18"/>
                <w:szCs w:val="18"/>
              </w:rPr>
              <w:t>Valoración por la Unidad</w:t>
            </w:r>
            <w:r>
              <w:rPr>
                <w:sz w:val="18"/>
                <w:szCs w:val="18"/>
              </w:rPr>
              <w:t xml:space="preserve"> (se han realizado gestiones, actuaciones…)</w:t>
            </w:r>
          </w:p>
        </w:tc>
        <w:tc>
          <w:tcPr>
            <w:tcW w:w="1211" w:type="dxa"/>
            <w:gridSpan w:val="2"/>
            <w:vAlign w:val="center"/>
          </w:tcPr>
          <w:p w:rsidR="00F51AF5" w:rsidRPr="00847DD5" w:rsidRDefault="00F51AF5" w:rsidP="004435E0">
            <w:pPr>
              <w:jc w:val="center"/>
              <w:rPr>
                <w:sz w:val="18"/>
                <w:szCs w:val="18"/>
              </w:rPr>
            </w:pPr>
            <w:r w:rsidRPr="00847DD5">
              <w:rPr>
                <w:sz w:val="18"/>
                <w:szCs w:val="18"/>
              </w:rPr>
              <w:t>Mejoras realizadas</w:t>
            </w:r>
          </w:p>
        </w:tc>
        <w:tc>
          <w:tcPr>
            <w:tcW w:w="2430" w:type="dxa"/>
            <w:vMerge w:val="restart"/>
            <w:vAlign w:val="center"/>
          </w:tcPr>
          <w:p w:rsidR="00F51AF5" w:rsidRPr="00847DD5" w:rsidRDefault="00F51AF5" w:rsidP="004435E0">
            <w:pPr>
              <w:jc w:val="center"/>
              <w:rPr>
                <w:sz w:val="18"/>
                <w:szCs w:val="18"/>
              </w:rPr>
            </w:pPr>
            <w:r>
              <w:rPr>
                <w:sz w:val="18"/>
                <w:szCs w:val="18"/>
              </w:rPr>
              <w:t>Valoración de auditoría de las mejoras implantadas</w:t>
            </w:r>
          </w:p>
        </w:tc>
      </w:tr>
      <w:tr w:rsidR="00F51AF5" w:rsidTr="000C1828">
        <w:trPr>
          <w:trHeight w:val="120"/>
        </w:trPr>
        <w:tc>
          <w:tcPr>
            <w:tcW w:w="1983" w:type="dxa"/>
            <w:vMerge/>
            <w:shd w:val="clear" w:color="auto" w:fill="D9D9D9" w:themeFill="background1" w:themeFillShade="D9"/>
            <w:vAlign w:val="center"/>
          </w:tcPr>
          <w:p w:rsidR="00F51AF5" w:rsidRPr="00847DD5" w:rsidRDefault="00F51AF5" w:rsidP="004435E0">
            <w:pPr>
              <w:rPr>
                <w:b/>
                <w:sz w:val="20"/>
                <w:szCs w:val="20"/>
              </w:rPr>
            </w:pPr>
          </w:p>
        </w:tc>
        <w:tc>
          <w:tcPr>
            <w:tcW w:w="1908" w:type="dxa"/>
            <w:vMerge/>
          </w:tcPr>
          <w:p w:rsidR="00F51AF5" w:rsidRPr="00847DD5" w:rsidRDefault="00F51AF5" w:rsidP="004435E0">
            <w:pPr>
              <w:jc w:val="center"/>
              <w:rPr>
                <w:sz w:val="18"/>
                <w:szCs w:val="18"/>
              </w:rPr>
            </w:pPr>
          </w:p>
        </w:tc>
        <w:tc>
          <w:tcPr>
            <w:tcW w:w="3324" w:type="dxa"/>
            <w:vMerge/>
            <w:vAlign w:val="center"/>
          </w:tcPr>
          <w:p w:rsidR="00F51AF5" w:rsidRPr="00847DD5" w:rsidRDefault="00F51AF5" w:rsidP="004435E0">
            <w:pPr>
              <w:jc w:val="center"/>
              <w:rPr>
                <w:sz w:val="18"/>
                <w:szCs w:val="18"/>
              </w:rPr>
            </w:pPr>
          </w:p>
        </w:tc>
        <w:tc>
          <w:tcPr>
            <w:tcW w:w="582" w:type="dxa"/>
            <w:vAlign w:val="center"/>
          </w:tcPr>
          <w:p w:rsidR="00F51AF5" w:rsidRPr="00847DD5" w:rsidRDefault="00F51AF5" w:rsidP="004435E0">
            <w:pPr>
              <w:jc w:val="center"/>
              <w:rPr>
                <w:sz w:val="18"/>
                <w:szCs w:val="18"/>
              </w:rPr>
            </w:pPr>
            <w:r>
              <w:rPr>
                <w:sz w:val="18"/>
                <w:szCs w:val="18"/>
              </w:rPr>
              <w:t>Sí</w:t>
            </w:r>
          </w:p>
        </w:tc>
        <w:tc>
          <w:tcPr>
            <w:tcW w:w="629" w:type="dxa"/>
            <w:vAlign w:val="center"/>
          </w:tcPr>
          <w:p w:rsidR="00F51AF5" w:rsidRPr="00847DD5" w:rsidRDefault="00F51AF5" w:rsidP="004435E0">
            <w:pPr>
              <w:jc w:val="center"/>
              <w:rPr>
                <w:sz w:val="18"/>
                <w:szCs w:val="18"/>
              </w:rPr>
            </w:pPr>
            <w:r>
              <w:rPr>
                <w:sz w:val="18"/>
                <w:szCs w:val="18"/>
              </w:rPr>
              <w:t>No</w:t>
            </w:r>
          </w:p>
        </w:tc>
        <w:tc>
          <w:tcPr>
            <w:tcW w:w="2430" w:type="dxa"/>
            <w:vMerge/>
            <w:vAlign w:val="center"/>
          </w:tcPr>
          <w:p w:rsidR="00F51AF5" w:rsidRPr="00847DD5" w:rsidRDefault="00F51AF5" w:rsidP="004435E0">
            <w:pPr>
              <w:jc w:val="center"/>
              <w:rPr>
                <w:sz w:val="18"/>
                <w:szCs w:val="18"/>
              </w:rPr>
            </w:pPr>
          </w:p>
        </w:tc>
      </w:tr>
      <w:tr w:rsidR="00773C28" w:rsidTr="000C1828">
        <w:tc>
          <w:tcPr>
            <w:tcW w:w="1983" w:type="dxa"/>
            <w:shd w:val="clear" w:color="auto" w:fill="D9D9D9" w:themeFill="background1" w:themeFillShade="D9"/>
            <w:vAlign w:val="center"/>
          </w:tcPr>
          <w:p w:rsidR="00773C28" w:rsidRPr="00A22A58" w:rsidRDefault="00773C28" w:rsidP="004435E0">
            <w:pPr>
              <w:rPr>
                <w:sz w:val="20"/>
                <w:szCs w:val="20"/>
              </w:rPr>
            </w:pPr>
          </w:p>
        </w:tc>
        <w:tc>
          <w:tcPr>
            <w:tcW w:w="1908" w:type="dxa"/>
          </w:tcPr>
          <w:p w:rsidR="00773C28" w:rsidRPr="00847DD5" w:rsidRDefault="003B3D2F" w:rsidP="003B3D2F">
            <w:pPr>
              <w:rPr>
                <w:sz w:val="18"/>
                <w:szCs w:val="18"/>
              </w:rPr>
            </w:pPr>
            <w:r>
              <w:rPr>
                <w:sz w:val="18"/>
                <w:szCs w:val="18"/>
              </w:rPr>
              <w:t>Encuestas</w:t>
            </w:r>
          </w:p>
        </w:tc>
        <w:tc>
          <w:tcPr>
            <w:tcW w:w="3324" w:type="dxa"/>
          </w:tcPr>
          <w:p w:rsidR="00773C28" w:rsidRPr="00847DD5" w:rsidRDefault="00773C28" w:rsidP="004435E0">
            <w:pPr>
              <w:rPr>
                <w:sz w:val="18"/>
                <w:szCs w:val="18"/>
              </w:rPr>
            </w:pPr>
          </w:p>
        </w:tc>
        <w:tc>
          <w:tcPr>
            <w:tcW w:w="582" w:type="dxa"/>
            <w:vAlign w:val="center"/>
          </w:tcPr>
          <w:p w:rsidR="00773C28" w:rsidRPr="00847DD5" w:rsidRDefault="00773C28" w:rsidP="004435E0">
            <w:pPr>
              <w:jc w:val="center"/>
              <w:rPr>
                <w:sz w:val="18"/>
                <w:szCs w:val="18"/>
              </w:rPr>
            </w:pPr>
          </w:p>
        </w:tc>
        <w:tc>
          <w:tcPr>
            <w:tcW w:w="629" w:type="dxa"/>
            <w:vAlign w:val="center"/>
          </w:tcPr>
          <w:p w:rsidR="00773C28" w:rsidRPr="00847DD5" w:rsidRDefault="00763184" w:rsidP="004435E0">
            <w:pPr>
              <w:rPr>
                <w:sz w:val="18"/>
                <w:szCs w:val="18"/>
              </w:rPr>
            </w:pPr>
            <w:r>
              <w:rPr>
                <w:sz w:val="18"/>
                <w:szCs w:val="18"/>
              </w:rPr>
              <w:t>X</w:t>
            </w:r>
          </w:p>
        </w:tc>
        <w:tc>
          <w:tcPr>
            <w:tcW w:w="2430" w:type="dxa"/>
            <w:vAlign w:val="center"/>
          </w:tcPr>
          <w:p w:rsidR="00773C28" w:rsidRPr="00847DD5" w:rsidRDefault="00773C28" w:rsidP="004435E0">
            <w:pPr>
              <w:rPr>
                <w:sz w:val="18"/>
                <w:szCs w:val="18"/>
              </w:rPr>
            </w:pPr>
          </w:p>
        </w:tc>
      </w:tr>
      <w:tr w:rsidR="00773C28" w:rsidTr="000C1828">
        <w:tc>
          <w:tcPr>
            <w:tcW w:w="1983" w:type="dxa"/>
            <w:shd w:val="clear" w:color="auto" w:fill="D9D9D9" w:themeFill="background1" w:themeFillShade="D9"/>
            <w:vAlign w:val="center"/>
          </w:tcPr>
          <w:p w:rsidR="00773C28" w:rsidRPr="00A22A58" w:rsidRDefault="00773C28" w:rsidP="004435E0">
            <w:pPr>
              <w:rPr>
                <w:sz w:val="20"/>
                <w:szCs w:val="20"/>
              </w:rPr>
            </w:pPr>
          </w:p>
        </w:tc>
        <w:tc>
          <w:tcPr>
            <w:tcW w:w="1908" w:type="dxa"/>
          </w:tcPr>
          <w:p w:rsidR="00773C28" w:rsidRPr="00847DD5" w:rsidRDefault="00763184" w:rsidP="003B3D2F">
            <w:pPr>
              <w:rPr>
                <w:sz w:val="18"/>
                <w:szCs w:val="18"/>
              </w:rPr>
            </w:pPr>
            <w:r>
              <w:rPr>
                <w:sz w:val="18"/>
                <w:szCs w:val="18"/>
              </w:rPr>
              <w:t>Verbal</w:t>
            </w:r>
            <w:r w:rsidR="003B3D2F">
              <w:rPr>
                <w:sz w:val="18"/>
                <w:szCs w:val="18"/>
              </w:rPr>
              <w:t>/Telefónica</w:t>
            </w:r>
          </w:p>
        </w:tc>
        <w:tc>
          <w:tcPr>
            <w:tcW w:w="3324" w:type="dxa"/>
          </w:tcPr>
          <w:p w:rsidR="00773C28" w:rsidRPr="00847DD5" w:rsidRDefault="00773C28" w:rsidP="004435E0">
            <w:pPr>
              <w:rPr>
                <w:sz w:val="18"/>
                <w:szCs w:val="18"/>
              </w:rPr>
            </w:pPr>
          </w:p>
        </w:tc>
        <w:tc>
          <w:tcPr>
            <w:tcW w:w="582" w:type="dxa"/>
            <w:vAlign w:val="center"/>
          </w:tcPr>
          <w:p w:rsidR="00773C28" w:rsidRPr="00847DD5" w:rsidRDefault="00773C28" w:rsidP="004435E0">
            <w:pPr>
              <w:jc w:val="center"/>
              <w:rPr>
                <w:sz w:val="18"/>
                <w:szCs w:val="18"/>
              </w:rPr>
            </w:pPr>
          </w:p>
        </w:tc>
        <w:tc>
          <w:tcPr>
            <w:tcW w:w="629" w:type="dxa"/>
            <w:vAlign w:val="center"/>
          </w:tcPr>
          <w:p w:rsidR="00773C28" w:rsidRPr="00847DD5" w:rsidRDefault="00763184" w:rsidP="004435E0">
            <w:pPr>
              <w:rPr>
                <w:sz w:val="18"/>
                <w:szCs w:val="18"/>
              </w:rPr>
            </w:pPr>
            <w:r>
              <w:rPr>
                <w:sz w:val="18"/>
                <w:szCs w:val="18"/>
              </w:rPr>
              <w:t>X</w:t>
            </w:r>
          </w:p>
        </w:tc>
        <w:tc>
          <w:tcPr>
            <w:tcW w:w="2430" w:type="dxa"/>
            <w:vAlign w:val="center"/>
          </w:tcPr>
          <w:p w:rsidR="00773C28" w:rsidRPr="00847DD5" w:rsidRDefault="00773C28" w:rsidP="004435E0">
            <w:pPr>
              <w:rPr>
                <w:sz w:val="18"/>
                <w:szCs w:val="18"/>
              </w:rPr>
            </w:pPr>
          </w:p>
        </w:tc>
      </w:tr>
      <w:tr w:rsidR="00D53AF3" w:rsidTr="004435E0">
        <w:trPr>
          <w:trHeight w:val="857"/>
        </w:trPr>
        <w:tc>
          <w:tcPr>
            <w:tcW w:w="1983" w:type="dxa"/>
            <w:shd w:val="clear" w:color="auto" w:fill="D9D9D9" w:themeFill="background1" w:themeFillShade="D9"/>
            <w:vAlign w:val="center"/>
          </w:tcPr>
          <w:p w:rsidR="00D53AF3" w:rsidRPr="00847DD5" w:rsidRDefault="00D53AF3" w:rsidP="004435E0">
            <w:pPr>
              <w:rPr>
                <w:b/>
                <w:sz w:val="20"/>
                <w:szCs w:val="20"/>
              </w:rPr>
            </w:pPr>
            <w:r w:rsidRPr="00847DD5">
              <w:rPr>
                <w:b/>
                <w:sz w:val="20"/>
                <w:szCs w:val="20"/>
              </w:rPr>
              <w:t>Valoración de auditoría</w:t>
            </w:r>
          </w:p>
        </w:tc>
        <w:tc>
          <w:tcPr>
            <w:tcW w:w="8873" w:type="dxa"/>
            <w:gridSpan w:val="5"/>
          </w:tcPr>
          <w:p w:rsidR="0063306F" w:rsidRDefault="00155C43" w:rsidP="008849CB">
            <w:pPr>
              <w:rPr>
                <w:rFonts w:ascii="Calibri" w:eastAsia="Times New Roman" w:hAnsi="Calibri" w:cs="Times New Roman"/>
                <w:lang w:eastAsia="es-ES"/>
              </w:rPr>
            </w:pPr>
            <w:r>
              <w:t xml:space="preserve">No </w:t>
            </w:r>
            <w:r w:rsidR="008849CB">
              <w:t xml:space="preserve">se puede </w:t>
            </w:r>
            <w:r>
              <w:t>evidencia</w:t>
            </w:r>
            <w:r w:rsidR="008849CB">
              <w:t xml:space="preserve">r la información directa que los clientes han proporcionado, si bien, </w:t>
            </w:r>
            <w:r w:rsidR="006B3303">
              <w:t xml:space="preserve">la responsable de la unidad indica que </w:t>
            </w:r>
            <w:r w:rsidR="0063306F" w:rsidRPr="004435E0">
              <w:rPr>
                <w:rFonts w:ascii="Calibri" w:eastAsia="Times New Roman" w:hAnsi="Calibri" w:cs="Times New Roman"/>
                <w:lang w:eastAsia="es-ES"/>
              </w:rPr>
              <w:t xml:space="preserve">se muestran satisfechos con </w:t>
            </w:r>
            <w:r w:rsidR="008849CB">
              <w:rPr>
                <w:rFonts w:ascii="Calibri" w:eastAsia="Times New Roman" w:hAnsi="Calibri" w:cs="Times New Roman"/>
                <w:lang w:eastAsia="es-ES"/>
              </w:rPr>
              <w:t>los</w:t>
            </w:r>
            <w:r w:rsidR="0063306F" w:rsidRPr="004435E0">
              <w:rPr>
                <w:rFonts w:ascii="Calibri" w:eastAsia="Times New Roman" w:hAnsi="Calibri" w:cs="Times New Roman"/>
                <w:lang w:eastAsia="es-ES"/>
              </w:rPr>
              <w:t xml:space="preserve"> cambios</w:t>
            </w:r>
            <w:r w:rsidR="008849CB">
              <w:rPr>
                <w:rFonts w:ascii="Calibri" w:eastAsia="Times New Roman" w:hAnsi="Calibri" w:cs="Times New Roman"/>
                <w:lang w:eastAsia="es-ES"/>
              </w:rPr>
              <w:t xml:space="preserve"> realizados en la unidad y así se lo </w:t>
            </w:r>
            <w:r w:rsidR="00763184">
              <w:rPr>
                <w:rFonts w:ascii="Calibri" w:eastAsia="Times New Roman" w:hAnsi="Calibri" w:cs="Times New Roman"/>
                <w:lang w:eastAsia="es-ES"/>
              </w:rPr>
              <w:t>expresan</w:t>
            </w:r>
            <w:r w:rsidR="008849CB">
              <w:rPr>
                <w:rFonts w:ascii="Calibri" w:eastAsia="Times New Roman" w:hAnsi="Calibri" w:cs="Times New Roman"/>
                <w:lang w:eastAsia="es-ES"/>
              </w:rPr>
              <w:t xml:space="preserve"> al personal</w:t>
            </w:r>
            <w:r w:rsidR="006B3303">
              <w:rPr>
                <w:rFonts w:ascii="Calibri" w:eastAsia="Times New Roman" w:hAnsi="Calibri" w:cs="Times New Roman"/>
                <w:lang w:eastAsia="es-ES"/>
              </w:rPr>
              <w:t xml:space="preserve"> de forma verbal/telefónica</w:t>
            </w:r>
            <w:r w:rsidR="008849CB">
              <w:rPr>
                <w:rFonts w:ascii="Calibri" w:eastAsia="Times New Roman" w:hAnsi="Calibri" w:cs="Times New Roman"/>
                <w:lang w:eastAsia="es-ES"/>
              </w:rPr>
              <w:t>.</w:t>
            </w:r>
          </w:p>
          <w:p w:rsidR="00FF4EB0" w:rsidRDefault="00FF4EB0" w:rsidP="008849CB">
            <w:pPr>
              <w:rPr>
                <w:rFonts w:ascii="Calibri" w:eastAsia="Times New Roman" w:hAnsi="Calibri" w:cs="Times New Roman"/>
                <w:lang w:eastAsia="es-ES"/>
              </w:rPr>
            </w:pPr>
          </w:p>
          <w:p w:rsidR="00FF4EB0" w:rsidRDefault="00FF4EB0" w:rsidP="008849CB">
            <w:pPr>
              <w:rPr>
                <w:rFonts w:ascii="Calibri" w:eastAsia="Times New Roman" w:hAnsi="Calibri" w:cs="Times New Roman"/>
                <w:lang w:eastAsia="es-ES"/>
              </w:rPr>
            </w:pPr>
            <w:r>
              <w:rPr>
                <w:rFonts w:ascii="Calibri" w:eastAsia="Times New Roman" w:hAnsi="Calibri" w:cs="Times New Roman"/>
                <w:lang w:eastAsia="es-ES"/>
              </w:rPr>
              <w:t>Se recomienda dejar constancia de algún modo de estas informaciones directas recabadas de los clientes así como dar la oportuna publicidad a las mejoras en que puedan desembocar.</w:t>
            </w:r>
          </w:p>
          <w:p w:rsidR="00EA6325" w:rsidRPr="00EA6325" w:rsidRDefault="00EA6325" w:rsidP="008849CB">
            <w:pPr>
              <w:rPr>
                <w:color w:val="FF0000"/>
              </w:rPr>
            </w:pPr>
          </w:p>
        </w:tc>
      </w:tr>
    </w:tbl>
    <w:p w:rsidR="00F51AF5" w:rsidRDefault="00F51AF5" w:rsidP="00B0405F">
      <w:pPr>
        <w:spacing w:line="240" w:lineRule="auto"/>
      </w:pPr>
    </w:p>
    <w:p w:rsidR="00FF4EB0" w:rsidRDefault="00FF4EB0" w:rsidP="00B0405F">
      <w:pPr>
        <w:spacing w:line="240" w:lineRule="auto"/>
        <w:rPr>
          <w:b/>
        </w:rPr>
      </w:pPr>
    </w:p>
    <w:p w:rsidR="00C135FD" w:rsidRDefault="00C135FD" w:rsidP="00B0405F">
      <w:pPr>
        <w:spacing w:line="240" w:lineRule="auto"/>
      </w:pPr>
      <w:r w:rsidRPr="00547E78">
        <w:rPr>
          <w:b/>
        </w:rPr>
        <w:t>5.- Encuestas</w:t>
      </w:r>
    </w:p>
    <w:p w:rsidR="00C135FD" w:rsidRDefault="00C135FD" w:rsidP="00B0405F">
      <w:pPr>
        <w:spacing w:line="240" w:lineRule="auto"/>
      </w:pPr>
    </w:p>
    <w:p w:rsidR="00BD5357" w:rsidRDefault="00BD5357" w:rsidP="00B0405F">
      <w:pPr>
        <w:spacing w:line="240" w:lineRule="auto"/>
      </w:pPr>
    </w:p>
    <w:tbl>
      <w:tblPr>
        <w:tblStyle w:val="Tablaconcuadrcula"/>
        <w:tblW w:w="11238" w:type="dxa"/>
        <w:jc w:val="center"/>
        <w:tblLayout w:type="fixed"/>
        <w:tblLook w:val="04A0" w:firstRow="1" w:lastRow="0" w:firstColumn="1" w:lastColumn="0" w:noHBand="0" w:noVBand="1"/>
      </w:tblPr>
      <w:tblGrid>
        <w:gridCol w:w="2518"/>
        <w:gridCol w:w="567"/>
        <w:gridCol w:w="567"/>
        <w:gridCol w:w="2194"/>
        <w:gridCol w:w="1843"/>
        <w:gridCol w:w="3549"/>
      </w:tblGrid>
      <w:tr w:rsidR="009058B9" w:rsidRPr="003B30FE" w:rsidTr="007C44ED">
        <w:trPr>
          <w:trHeight w:val="450"/>
          <w:jc w:val="center"/>
        </w:trPr>
        <w:tc>
          <w:tcPr>
            <w:tcW w:w="2518" w:type="dxa"/>
            <w:vMerge w:val="restart"/>
            <w:tcBorders>
              <w:bottom w:val="single" w:sz="4" w:space="0" w:color="auto"/>
            </w:tcBorders>
            <w:shd w:val="clear" w:color="auto" w:fill="D9D9D9" w:themeFill="background1" w:themeFillShade="D9"/>
            <w:vAlign w:val="center"/>
          </w:tcPr>
          <w:p w:rsidR="009058B9" w:rsidRPr="003B30FE" w:rsidRDefault="009058B9" w:rsidP="00530859">
            <w:pPr>
              <w:rPr>
                <w:b/>
                <w:sz w:val="18"/>
                <w:szCs w:val="18"/>
              </w:rPr>
            </w:pPr>
            <w:r w:rsidRPr="003B30FE">
              <w:rPr>
                <w:b/>
                <w:sz w:val="18"/>
                <w:szCs w:val="18"/>
              </w:rPr>
              <w:t xml:space="preserve">Código/Encuesta </w:t>
            </w:r>
            <w:r w:rsidR="00530859">
              <w:rPr>
                <w:b/>
                <w:sz w:val="18"/>
                <w:szCs w:val="18"/>
              </w:rPr>
              <w:t>Satisfacción General</w:t>
            </w:r>
          </w:p>
        </w:tc>
        <w:tc>
          <w:tcPr>
            <w:tcW w:w="1134" w:type="dxa"/>
            <w:gridSpan w:val="2"/>
            <w:tcBorders>
              <w:bottom w:val="single" w:sz="4" w:space="0" w:color="auto"/>
            </w:tcBorders>
            <w:vAlign w:val="center"/>
          </w:tcPr>
          <w:p w:rsidR="009058B9" w:rsidRPr="003B30FE" w:rsidRDefault="009058B9" w:rsidP="00B0405F">
            <w:pPr>
              <w:jc w:val="center"/>
              <w:rPr>
                <w:sz w:val="18"/>
                <w:szCs w:val="18"/>
              </w:rPr>
            </w:pPr>
            <w:r w:rsidRPr="003B30FE">
              <w:rPr>
                <w:sz w:val="18"/>
                <w:szCs w:val="18"/>
              </w:rPr>
              <w:t>Realizada</w:t>
            </w:r>
          </w:p>
        </w:tc>
        <w:tc>
          <w:tcPr>
            <w:tcW w:w="2194" w:type="dxa"/>
            <w:vMerge w:val="restart"/>
            <w:tcBorders>
              <w:bottom w:val="single" w:sz="4" w:space="0" w:color="auto"/>
            </w:tcBorders>
            <w:vAlign w:val="center"/>
          </w:tcPr>
          <w:p w:rsidR="009058B9" w:rsidRPr="003B30FE" w:rsidRDefault="007C44ED" w:rsidP="007C44ED">
            <w:pPr>
              <w:jc w:val="center"/>
              <w:rPr>
                <w:sz w:val="18"/>
                <w:szCs w:val="18"/>
              </w:rPr>
            </w:pPr>
            <w:r>
              <w:rPr>
                <w:sz w:val="18"/>
                <w:szCs w:val="18"/>
              </w:rPr>
              <w:t>Valoración, a</w:t>
            </w:r>
            <w:r w:rsidR="00D920F2">
              <w:rPr>
                <w:sz w:val="18"/>
                <w:szCs w:val="18"/>
              </w:rPr>
              <w:t xml:space="preserve">nálisis de resultados y acciones de mejora </w:t>
            </w:r>
            <w:r w:rsidR="009058B9">
              <w:rPr>
                <w:sz w:val="18"/>
                <w:szCs w:val="18"/>
              </w:rPr>
              <w:t xml:space="preserve"> </w:t>
            </w:r>
            <w:r w:rsidR="009058B9" w:rsidRPr="003B30FE">
              <w:rPr>
                <w:sz w:val="18"/>
                <w:szCs w:val="18"/>
              </w:rPr>
              <w:t>por el Servicio/Unidad</w:t>
            </w:r>
          </w:p>
        </w:tc>
        <w:tc>
          <w:tcPr>
            <w:tcW w:w="1843" w:type="dxa"/>
            <w:vMerge w:val="restart"/>
            <w:tcBorders>
              <w:bottom w:val="single" w:sz="4" w:space="0" w:color="auto"/>
            </w:tcBorders>
          </w:tcPr>
          <w:p w:rsidR="009058B9" w:rsidRPr="003B30FE" w:rsidRDefault="009058B9" w:rsidP="00B0405F">
            <w:pPr>
              <w:jc w:val="center"/>
              <w:rPr>
                <w:sz w:val="18"/>
                <w:szCs w:val="18"/>
              </w:rPr>
            </w:pPr>
            <w:r>
              <w:rPr>
                <w:sz w:val="18"/>
                <w:szCs w:val="18"/>
              </w:rPr>
              <w:t>Acciones para mejorar los índices de participación</w:t>
            </w:r>
          </w:p>
        </w:tc>
        <w:tc>
          <w:tcPr>
            <w:tcW w:w="3549" w:type="dxa"/>
            <w:vMerge w:val="restart"/>
            <w:vAlign w:val="center"/>
          </w:tcPr>
          <w:p w:rsidR="009058B9" w:rsidRPr="009058B9" w:rsidRDefault="009058B9" w:rsidP="005B38DB">
            <w:pPr>
              <w:jc w:val="center"/>
              <w:rPr>
                <w:b/>
                <w:sz w:val="18"/>
                <w:szCs w:val="18"/>
              </w:rPr>
            </w:pPr>
            <w:r w:rsidRPr="003B30FE">
              <w:rPr>
                <w:sz w:val="18"/>
                <w:szCs w:val="18"/>
              </w:rPr>
              <w:t>Valoración de auditoría de las mejoras implantadas</w:t>
            </w:r>
            <w:r>
              <w:rPr>
                <w:sz w:val="18"/>
                <w:szCs w:val="18"/>
              </w:rPr>
              <w:t xml:space="preserve"> en su caso, y las acciones para mejora</w:t>
            </w:r>
            <w:r w:rsidR="005B38DB">
              <w:rPr>
                <w:sz w:val="18"/>
                <w:szCs w:val="18"/>
              </w:rPr>
              <w:t>r</w:t>
            </w:r>
            <w:r>
              <w:rPr>
                <w:sz w:val="18"/>
                <w:szCs w:val="18"/>
              </w:rPr>
              <w:t xml:space="preserve"> de los índices </w:t>
            </w:r>
            <w:r w:rsidR="005B38DB">
              <w:rPr>
                <w:sz w:val="18"/>
                <w:szCs w:val="18"/>
              </w:rPr>
              <w:t xml:space="preserve">de participación en las encuestas </w:t>
            </w:r>
          </w:p>
        </w:tc>
      </w:tr>
      <w:tr w:rsidR="009058B9" w:rsidRPr="003B30FE" w:rsidTr="007C44ED">
        <w:trPr>
          <w:trHeight w:val="120"/>
          <w:jc w:val="center"/>
        </w:trPr>
        <w:tc>
          <w:tcPr>
            <w:tcW w:w="2518" w:type="dxa"/>
            <w:vMerge/>
            <w:shd w:val="clear" w:color="auto" w:fill="D9D9D9" w:themeFill="background1" w:themeFillShade="D9"/>
            <w:vAlign w:val="center"/>
          </w:tcPr>
          <w:p w:rsidR="009058B9" w:rsidRPr="003B30FE" w:rsidRDefault="009058B9" w:rsidP="00B0405F">
            <w:pPr>
              <w:rPr>
                <w:b/>
                <w:sz w:val="18"/>
                <w:szCs w:val="18"/>
              </w:rPr>
            </w:pPr>
          </w:p>
        </w:tc>
        <w:tc>
          <w:tcPr>
            <w:tcW w:w="567" w:type="dxa"/>
            <w:vAlign w:val="center"/>
          </w:tcPr>
          <w:p w:rsidR="009058B9" w:rsidRPr="003B30FE" w:rsidRDefault="009058B9" w:rsidP="00B0405F">
            <w:pPr>
              <w:jc w:val="center"/>
              <w:rPr>
                <w:sz w:val="18"/>
                <w:szCs w:val="18"/>
              </w:rPr>
            </w:pPr>
            <w:r w:rsidRPr="003B30FE">
              <w:rPr>
                <w:sz w:val="18"/>
                <w:szCs w:val="18"/>
              </w:rPr>
              <w:t>Sí</w:t>
            </w:r>
          </w:p>
        </w:tc>
        <w:tc>
          <w:tcPr>
            <w:tcW w:w="567" w:type="dxa"/>
            <w:vAlign w:val="center"/>
          </w:tcPr>
          <w:p w:rsidR="009058B9" w:rsidRPr="003B30FE" w:rsidRDefault="009058B9" w:rsidP="00B0405F">
            <w:pPr>
              <w:jc w:val="center"/>
              <w:rPr>
                <w:sz w:val="18"/>
                <w:szCs w:val="18"/>
              </w:rPr>
            </w:pPr>
            <w:r w:rsidRPr="003B30FE">
              <w:rPr>
                <w:sz w:val="18"/>
                <w:szCs w:val="18"/>
              </w:rPr>
              <w:t>No</w:t>
            </w:r>
          </w:p>
        </w:tc>
        <w:tc>
          <w:tcPr>
            <w:tcW w:w="2194" w:type="dxa"/>
            <w:vMerge/>
            <w:vAlign w:val="center"/>
          </w:tcPr>
          <w:p w:rsidR="009058B9" w:rsidRPr="003B30FE" w:rsidRDefault="009058B9" w:rsidP="00B0405F">
            <w:pPr>
              <w:jc w:val="center"/>
              <w:rPr>
                <w:sz w:val="18"/>
                <w:szCs w:val="18"/>
              </w:rPr>
            </w:pPr>
          </w:p>
        </w:tc>
        <w:tc>
          <w:tcPr>
            <w:tcW w:w="1843" w:type="dxa"/>
            <w:vMerge/>
          </w:tcPr>
          <w:p w:rsidR="009058B9" w:rsidRPr="003B30FE" w:rsidRDefault="009058B9" w:rsidP="00B0405F">
            <w:pPr>
              <w:jc w:val="center"/>
              <w:rPr>
                <w:sz w:val="18"/>
                <w:szCs w:val="18"/>
              </w:rPr>
            </w:pPr>
          </w:p>
        </w:tc>
        <w:tc>
          <w:tcPr>
            <w:tcW w:w="3549" w:type="dxa"/>
            <w:vMerge/>
            <w:vAlign w:val="center"/>
          </w:tcPr>
          <w:p w:rsidR="009058B9" w:rsidRPr="009058B9" w:rsidRDefault="009058B9" w:rsidP="00B0405F">
            <w:pPr>
              <w:jc w:val="center"/>
              <w:rPr>
                <w:b/>
                <w:sz w:val="18"/>
                <w:szCs w:val="18"/>
              </w:rPr>
            </w:pPr>
          </w:p>
        </w:tc>
      </w:tr>
      <w:tr w:rsidR="00773C28" w:rsidRPr="003B30FE" w:rsidTr="00763184">
        <w:trPr>
          <w:jc w:val="center"/>
        </w:trPr>
        <w:tc>
          <w:tcPr>
            <w:tcW w:w="2518" w:type="dxa"/>
            <w:shd w:val="clear" w:color="auto" w:fill="D9D9D9" w:themeFill="background1" w:themeFillShade="D9"/>
            <w:vAlign w:val="center"/>
          </w:tcPr>
          <w:p w:rsidR="00773C28" w:rsidRPr="003B30FE" w:rsidRDefault="00773C28" w:rsidP="00D86F1C">
            <w:pP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EG_16_PC08</w:t>
            </w:r>
          </w:p>
        </w:tc>
        <w:tc>
          <w:tcPr>
            <w:tcW w:w="567" w:type="dxa"/>
            <w:vAlign w:val="center"/>
          </w:tcPr>
          <w:p w:rsidR="00773C28" w:rsidRPr="00A96B63" w:rsidRDefault="00155C43" w:rsidP="00763184">
            <w:pPr>
              <w:jc w:val="center"/>
              <w:rPr>
                <w:sz w:val="20"/>
                <w:szCs w:val="20"/>
              </w:rPr>
            </w:pPr>
            <w:r w:rsidRPr="00A96B63">
              <w:rPr>
                <w:sz w:val="20"/>
                <w:szCs w:val="20"/>
              </w:rPr>
              <w:t>X</w:t>
            </w:r>
          </w:p>
        </w:tc>
        <w:tc>
          <w:tcPr>
            <w:tcW w:w="567" w:type="dxa"/>
          </w:tcPr>
          <w:p w:rsidR="00773C28" w:rsidRPr="00A96B63" w:rsidRDefault="00773C28" w:rsidP="00B0405F">
            <w:pPr>
              <w:rPr>
                <w:sz w:val="20"/>
                <w:szCs w:val="20"/>
              </w:rPr>
            </w:pPr>
          </w:p>
        </w:tc>
        <w:tc>
          <w:tcPr>
            <w:tcW w:w="2194" w:type="dxa"/>
            <w:vAlign w:val="center"/>
          </w:tcPr>
          <w:p w:rsidR="00773C28" w:rsidRPr="00A96B63" w:rsidRDefault="00763184" w:rsidP="00B0405F">
            <w:pPr>
              <w:rPr>
                <w:sz w:val="20"/>
                <w:szCs w:val="20"/>
              </w:rPr>
            </w:pPr>
            <w:r w:rsidRPr="00A96B63">
              <w:rPr>
                <w:sz w:val="20"/>
                <w:szCs w:val="20"/>
              </w:rPr>
              <w:t>SÍ</w:t>
            </w:r>
          </w:p>
        </w:tc>
        <w:tc>
          <w:tcPr>
            <w:tcW w:w="1843" w:type="dxa"/>
          </w:tcPr>
          <w:p w:rsidR="00773C28" w:rsidRPr="00A96B63" w:rsidRDefault="00763184" w:rsidP="00B0405F">
            <w:pPr>
              <w:rPr>
                <w:sz w:val="20"/>
                <w:szCs w:val="20"/>
              </w:rPr>
            </w:pPr>
            <w:r w:rsidRPr="00A96B63">
              <w:rPr>
                <w:sz w:val="20"/>
                <w:szCs w:val="20"/>
              </w:rPr>
              <w:t>Modificar los ítems de la encuesta</w:t>
            </w:r>
          </w:p>
        </w:tc>
        <w:tc>
          <w:tcPr>
            <w:tcW w:w="3549" w:type="dxa"/>
            <w:vAlign w:val="center"/>
          </w:tcPr>
          <w:p w:rsidR="00773C28" w:rsidRPr="00A96B63" w:rsidRDefault="00763184" w:rsidP="00763184">
            <w:pPr>
              <w:rPr>
                <w:sz w:val="20"/>
                <w:szCs w:val="20"/>
              </w:rPr>
            </w:pPr>
            <w:r w:rsidRPr="00A96B63">
              <w:rPr>
                <w:sz w:val="20"/>
                <w:szCs w:val="20"/>
              </w:rPr>
              <w:t xml:space="preserve">El índice de participación se ha incrementado levemente. </w:t>
            </w:r>
          </w:p>
        </w:tc>
      </w:tr>
      <w:tr w:rsidR="007C44ED" w:rsidRPr="003B30FE" w:rsidTr="005B38DB">
        <w:trPr>
          <w:trHeight w:val="838"/>
          <w:jc w:val="center"/>
        </w:trPr>
        <w:tc>
          <w:tcPr>
            <w:tcW w:w="2518" w:type="dxa"/>
            <w:shd w:val="clear" w:color="auto" w:fill="D9D9D9" w:themeFill="background1" w:themeFillShade="D9"/>
            <w:vAlign w:val="center"/>
          </w:tcPr>
          <w:p w:rsidR="007C44ED" w:rsidRDefault="007C44ED" w:rsidP="00D86F1C">
            <w:pPr>
              <w:rPr>
                <w:b/>
                <w:sz w:val="18"/>
                <w:szCs w:val="18"/>
              </w:rPr>
            </w:pPr>
            <w:r w:rsidRPr="003B30FE">
              <w:rPr>
                <w:b/>
                <w:sz w:val="18"/>
                <w:szCs w:val="18"/>
              </w:rPr>
              <w:t>Valoración de auditoría</w:t>
            </w:r>
          </w:p>
          <w:p w:rsidR="007C44ED" w:rsidRDefault="007C44ED" w:rsidP="00D86F1C">
            <w:pPr>
              <w:rPr>
                <w:b/>
                <w:sz w:val="18"/>
                <w:szCs w:val="18"/>
              </w:rPr>
            </w:pPr>
          </w:p>
          <w:p w:rsidR="007C44ED" w:rsidRDefault="007C44ED" w:rsidP="00D86F1C">
            <w:pPr>
              <w:rPr>
                <w:b/>
                <w:sz w:val="18"/>
                <w:szCs w:val="18"/>
              </w:rPr>
            </w:pPr>
          </w:p>
          <w:p w:rsidR="007C44ED" w:rsidRDefault="007C44ED" w:rsidP="00D86F1C">
            <w:pPr>
              <w:rPr>
                <w:b/>
                <w:sz w:val="18"/>
                <w:szCs w:val="18"/>
              </w:rPr>
            </w:pPr>
          </w:p>
          <w:p w:rsidR="007C44ED" w:rsidRPr="003B30FE" w:rsidRDefault="007C44ED" w:rsidP="00D86F1C">
            <w:pPr>
              <w:rPr>
                <w:rFonts w:ascii="Calibri" w:eastAsia="Times New Roman" w:hAnsi="Calibri" w:cs="Times New Roman"/>
                <w:color w:val="000000"/>
                <w:sz w:val="18"/>
                <w:szCs w:val="18"/>
                <w:lang w:eastAsia="es-ES"/>
              </w:rPr>
            </w:pPr>
          </w:p>
        </w:tc>
        <w:tc>
          <w:tcPr>
            <w:tcW w:w="8720" w:type="dxa"/>
            <w:gridSpan w:val="5"/>
          </w:tcPr>
          <w:p w:rsidR="00AE47AB" w:rsidRDefault="00763184" w:rsidP="00763184">
            <w:pPr>
              <w:rPr>
                <w:sz w:val="20"/>
                <w:szCs w:val="20"/>
              </w:rPr>
            </w:pPr>
            <w:r w:rsidRPr="00A96B63">
              <w:rPr>
                <w:sz w:val="20"/>
                <w:szCs w:val="20"/>
              </w:rPr>
              <w:t>La modificación de los ítems para el ciclo 2015 ha supuesto un leve incremento en el índice de participación</w:t>
            </w:r>
            <w:r w:rsidR="00C90E49">
              <w:rPr>
                <w:sz w:val="20"/>
                <w:szCs w:val="20"/>
              </w:rPr>
              <w:t xml:space="preserve"> (</w:t>
            </w:r>
            <w:r w:rsidR="00C27934">
              <w:rPr>
                <w:sz w:val="20"/>
                <w:szCs w:val="20"/>
              </w:rPr>
              <w:t xml:space="preserve">de 40.09% a </w:t>
            </w:r>
            <w:r w:rsidR="00C90E49">
              <w:rPr>
                <w:sz w:val="20"/>
                <w:szCs w:val="20"/>
              </w:rPr>
              <w:t>48,3%)</w:t>
            </w:r>
            <w:r w:rsidR="00AE47AB" w:rsidRPr="00A96B63">
              <w:rPr>
                <w:sz w:val="20"/>
                <w:szCs w:val="20"/>
              </w:rPr>
              <w:t>; sin embargo, la unidad alega que este incremento no tiene por qué estar directamente relacionado con  la modificación, más aún cuando no se ha experimentado ningún cambio significativo en los resultados.</w:t>
            </w:r>
          </w:p>
          <w:p w:rsidR="00C27934" w:rsidRPr="00A96B63" w:rsidRDefault="00C27934" w:rsidP="00763184">
            <w:pPr>
              <w:rPr>
                <w:sz w:val="20"/>
                <w:szCs w:val="20"/>
              </w:rPr>
            </w:pPr>
          </w:p>
          <w:p w:rsidR="00A96B63" w:rsidRPr="00A96B63" w:rsidRDefault="00AE47AB" w:rsidP="00A96B63">
            <w:pPr>
              <w:rPr>
                <w:sz w:val="20"/>
                <w:szCs w:val="20"/>
              </w:rPr>
            </w:pPr>
            <w:r w:rsidRPr="00A96B63">
              <w:rPr>
                <w:sz w:val="20"/>
                <w:szCs w:val="20"/>
              </w:rPr>
              <w:t xml:space="preserve">Habrá que observar los datos durante algunos ciclos más para ver su evolución. </w:t>
            </w:r>
          </w:p>
          <w:p w:rsidR="00A96B63" w:rsidRPr="00A96B63" w:rsidRDefault="00A96B63" w:rsidP="00A96B63">
            <w:pPr>
              <w:rPr>
                <w:sz w:val="20"/>
                <w:szCs w:val="20"/>
              </w:rPr>
            </w:pPr>
          </w:p>
          <w:p w:rsidR="00E25F5F" w:rsidRPr="00A96B63" w:rsidRDefault="00D8506E" w:rsidP="00A96B63">
            <w:pPr>
              <w:rPr>
                <w:sz w:val="20"/>
                <w:szCs w:val="20"/>
              </w:rPr>
            </w:pPr>
            <w:r w:rsidRPr="00A96B63">
              <w:rPr>
                <w:rFonts w:ascii="Calibri" w:eastAsia="Times New Roman" w:hAnsi="Calibri" w:cs="Calibri"/>
                <w:spacing w:val="-1"/>
                <w:sz w:val="20"/>
                <w:szCs w:val="20"/>
                <w:lang w:eastAsia="es-ES"/>
              </w:rPr>
              <w:t xml:space="preserve">Se recomienda </w:t>
            </w:r>
            <w:r w:rsidR="00E25F5F" w:rsidRPr="00A96B63">
              <w:rPr>
                <w:rFonts w:ascii="Calibri" w:eastAsia="Times New Roman" w:hAnsi="Calibri" w:cs="Calibri"/>
                <w:spacing w:val="-1"/>
                <w:sz w:val="20"/>
                <w:szCs w:val="20"/>
                <w:lang w:eastAsia="es-ES"/>
              </w:rPr>
              <w:t>profundiza</w:t>
            </w:r>
            <w:r w:rsidR="00E25F5F" w:rsidRPr="00A96B63">
              <w:rPr>
                <w:rFonts w:ascii="Calibri" w:eastAsia="Times New Roman" w:hAnsi="Calibri" w:cs="Calibri"/>
                <w:sz w:val="20"/>
                <w:szCs w:val="20"/>
                <w:lang w:eastAsia="es-ES"/>
              </w:rPr>
              <w:t>r</w:t>
            </w:r>
            <w:r w:rsidR="00E25F5F" w:rsidRPr="00A96B63">
              <w:rPr>
                <w:rFonts w:ascii="Calibri" w:eastAsia="Times New Roman" w:hAnsi="Calibri" w:cs="Calibri"/>
                <w:spacing w:val="6"/>
                <w:sz w:val="20"/>
                <w:szCs w:val="20"/>
                <w:lang w:eastAsia="es-ES"/>
              </w:rPr>
              <w:t xml:space="preserve"> </w:t>
            </w:r>
            <w:r w:rsidR="00E25F5F" w:rsidRPr="00A96B63">
              <w:rPr>
                <w:rFonts w:ascii="Calibri" w:eastAsia="Times New Roman" w:hAnsi="Calibri" w:cs="Calibri"/>
                <w:spacing w:val="-1"/>
                <w:sz w:val="20"/>
                <w:szCs w:val="20"/>
                <w:lang w:eastAsia="es-ES"/>
              </w:rPr>
              <w:t>e</w:t>
            </w:r>
            <w:r w:rsidR="00E25F5F" w:rsidRPr="00A96B63">
              <w:rPr>
                <w:rFonts w:ascii="Calibri" w:eastAsia="Times New Roman" w:hAnsi="Calibri" w:cs="Calibri"/>
                <w:sz w:val="20"/>
                <w:szCs w:val="20"/>
                <w:lang w:eastAsia="es-ES"/>
              </w:rPr>
              <w:t>n</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e</w:t>
            </w:r>
            <w:r w:rsidR="00E25F5F" w:rsidRPr="00A96B63">
              <w:rPr>
                <w:rFonts w:ascii="Calibri" w:eastAsia="Times New Roman" w:hAnsi="Calibri" w:cs="Calibri"/>
                <w:sz w:val="20"/>
                <w:szCs w:val="20"/>
                <w:lang w:eastAsia="es-ES"/>
              </w:rPr>
              <w:t>l</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z w:val="20"/>
                <w:szCs w:val="20"/>
                <w:lang w:eastAsia="es-ES"/>
              </w:rPr>
              <w:t>e</w:t>
            </w:r>
            <w:r w:rsidR="00E25F5F" w:rsidRPr="00A96B63">
              <w:rPr>
                <w:rFonts w:ascii="Calibri" w:eastAsia="Times New Roman" w:hAnsi="Calibri" w:cs="Calibri"/>
                <w:spacing w:val="-1"/>
                <w:sz w:val="20"/>
                <w:szCs w:val="20"/>
                <w:lang w:eastAsia="es-ES"/>
              </w:rPr>
              <w:t>stablecim</w:t>
            </w:r>
            <w:r w:rsidR="00E25F5F" w:rsidRPr="00A96B63">
              <w:rPr>
                <w:rFonts w:ascii="Calibri" w:eastAsia="Times New Roman" w:hAnsi="Calibri" w:cs="Calibri"/>
                <w:sz w:val="20"/>
                <w:szCs w:val="20"/>
                <w:lang w:eastAsia="es-ES"/>
              </w:rPr>
              <w:t>i</w:t>
            </w:r>
            <w:r w:rsidR="00E25F5F" w:rsidRPr="00A96B63">
              <w:rPr>
                <w:rFonts w:ascii="Calibri" w:eastAsia="Times New Roman" w:hAnsi="Calibri" w:cs="Calibri"/>
                <w:spacing w:val="-1"/>
                <w:sz w:val="20"/>
                <w:szCs w:val="20"/>
                <w:lang w:eastAsia="es-ES"/>
              </w:rPr>
              <w:t>ent</w:t>
            </w:r>
            <w:r w:rsidR="00E25F5F" w:rsidRPr="00A96B63">
              <w:rPr>
                <w:rFonts w:ascii="Calibri" w:eastAsia="Times New Roman" w:hAnsi="Calibri" w:cs="Calibri"/>
                <w:sz w:val="20"/>
                <w:szCs w:val="20"/>
                <w:lang w:eastAsia="es-ES"/>
              </w:rPr>
              <w:t>o</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d</w:t>
            </w:r>
            <w:r w:rsidR="00E25F5F" w:rsidRPr="00A96B63">
              <w:rPr>
                <w:rFonts w:ascii="Calibri" w:eastAsia="Times New Roman" w:hAnsi="Calibri" w:cs="Calibri"/>
                <w:sz w:val="20"/>
                <w:szCs w:val="20"/>
                <w:lang w:eastAsia="es-ES"/>
              </w:rPr>
              <w:t>e</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medida</w:t>
            </w:r>
            <w:r w:rsidR="00E25F5F" w:rsidRPr="00A96B63">
              <w:rPr>
                <w:rFonts w:ascii="Calibri" w:eastAsia="Times New Roman" w:hAnsi="Calibri" w:cs="Calibri"/>
                <w:sz w:val="20"/>
                <w:szCs w:val="20"/>
                <w:lang w:eastAsia="es-ES"/>
              </w:rPr>
              <w:t>s</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qu</w:t>
            </w:r>
            <w:r w:rsidR="00E25F5F" w:rsidRPr="00A96B63">
              <w:rPr>
                <w:rFonts w:ascii="Calibri" w:eastAsia="Times New Roman" w:hAnsi="Calibri" w:cs="Calibri"/>
                <w:sz w:val="20"/>
                <w:szCs w:val="20"/>
                <w:lang w:eastAsia="es-ES"/>
              </w:rPr>
              <w:t>e</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fomente</w:t>
            </w:r>
            <w:r w:rsidR="00E25F5F" w:rsidRPr="00A96B63">
              <w:rPr>
                <w:rFonts w:ascii="Calibri" w:eastAsia="Times New Roman" w:hAnsi="Calibri" w:cs="Calibri"/>
                <w:sz w:val="20"/>
                <w:szCs w:val="20"/>
                <w:lang w:eastAsia="es-ES"/>
              </w:rPr>
              <w:t>n</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l</w:t>
            </w:r>
            <w:r w:rsidR="00E25F5F" w:rsidRPr="00A96B63">
              <w:rPr>
                <w:rFonts w:ascii="Calibri" w:eastAsia="Times New Roman" w:hAnsi="Calibri" w:cs="Calibri"/>
                <w:sz w:val="20"/>
                <w:szCs w:val="20"/>
                <w:lang w:eastAsia="es-ES"/>
              </w:rPr>
              <w:t>a</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participa</w:t>
            </w:r>
            <w:r w:rsidR="00E25F5F" w:rsidRPr="00A96B63">
              <w:rPr>
                <w:rFonts w:ascii="Calibri" w:eastAsia="Times New Roman" w:hAnsi="Calibri" w:cs="Calibri"/>
                <w:spacing w:val="-2"/>
                <w:sz w:val="20"/>
                <w:szCs w:val="20"/>
                <w:lang w:eastAsia="es-ES"/>
              </w:rPr>
              <w:t>c</w:t>
            </w:r>
            <w:r w:rsidR="00E25F5F" w:rsidRPr="00A96B63">
              <w:rPr>
                <w:rFonts w:ascii="Calibri" w:eastAsia="Times New Roman" w:hAnsi="Calibri" w:cs="Calibri"/>
                <w:spacing w:val="-1"/>
                <w:sz w:val="20"/>
                <w:szCs w:val="20"/>
                <w:lang w:eastAsia="es-ES"/>
              </w:rPr>
              <w:t>ió</w:t>
            </w:r>
            <w:r w:rsidR="00E25F5F" w:rsidRPr="00A96B63">
              <w:rPr>
                <w:rFonts w:ascii="Calibri" w:eastAsia="Times New Roman" w:hAnsi="Calibri" w:cs="Calibri"/>
                <w:sz w:val="20"/>
                <w:szCs w:val="20"/>
                <w:lang w:eastAsia="es-ES"/>
              </w:rPr>
              <w:t>n</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d</w:t>
            </w:r>
            <w:r w:rsidR="00E25F5F" w:rsidRPr="00A96B63">
              <w:rPr>
                <w:rFonts w:ascii="Calibri" w:eastAsia="Times New Roman" w:hAnsi="Calibri" w:cs="Calibri"/>
                <w:sz w:val="20"/>
                <w:szCs w:val="20"/>
                <w:lang w:eastAsia="es-ES"/>
              </w:rPr>
              <w:t>e</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lo</w:t>
            </w:r>
            <w:r w:rsidR="00E25F5F" w:rsidRPr="00A96B63">
              <w:rPr>
                <w:rFonts w:ascii="Calibri" w:eastAsia="Times New Roman" w:hAnsi="Calibri" w:cs="Calibri"/>
                <w:sz w:val="20"/>
                <w:szCs w:val="20"/>
                <w:lang w:eastAsia="es-ES"/>
              </w:rPr>
              <w:t>s</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usua</w:t>
            </w:r>
            <w:r w:rsidR="00E25F5F" w:rsidRPr="00A96B63">
              <w:rPr>
                <w:rFonts w:ascii="Calibri" w:eastAsia="Times New Roman" w:hAnsi="Calibri" w:cs="Calibri"/>
                <w:spacing w:val="-2"/>
                <w:sz w:val="20"/>
                <w:szCs w:val="20"/>
                <w:lang w:eastAsia="es-ES"/>
              </w:rPr>
              <w:t>r</w:t>
            </w:r>
            <w:r w:rsidR="00E25F5F" w:rsidRPr="00A96B63">
              <w:rPr>
                <w:rFonts w:ascii="Calibri" w:eastAsia="Times New Roman" w:hAnsi="Calibri" w:cs="Calibri"/>
                <w:spacing w:val="-1"/>
                <w:sz w:val="20"/>
                <w:szCs w:val="20"/>
                <w:lang w:eastAsia="es-ES"/>
              </w:rPr>
              <w:t>io</w:t>
            </w:r>
            <w:r w:rsidR="00E25F5F" w:rsidRPr="00A96B63">
              <w:rPr>
                <w:rFonts w:ascii="Calibri" w:eastAsia="Times New Roman" w:hAnsi="Calibri" w:cs="Calibri"/>
                <w:sz w:val="20"/>
                <w:szCs w:val="20"/>
                <w:lang w:eastAsia="es-ES"/>
              </w:rPr>
              <w:t>s</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e</w:t>
            </w:r>
            <w:r w:rsidR="00E25F5F" w:rsidRPr="00A96B63">
              <w:rPr>
                <w:rFonts w:ascii="Calibri" w:eastAsia="Times New Roman" w:hAnsi="Calibri" w:cs="Calibri"/>
                <w:sz w:val="20"/>
                <w:szCs w:val="20"/>
                <w:lang w:eastAsia="es-ES"/>
              </w:rPr>
              <w:t>n</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1"/>
                <w:sz w:val="20"/>
                <w:szCs w:val="20"/>
                <w:lang w:eastAsia="es-ES"/>
              </w:rPr>
              <w:t>l</w:t>
            </w:r>
            <w:r w:rsidR="00E25F5F" w:rsidRPr="00A96B63">
              <w:rPr>
                <w:rFonts w:ascii="Calibri" w:eastAsia="Times New Roman" w:hAnsi="Calibri" w:cs="Calibri"/>
                <w:sz w:val="20"/>
                <w:szCs w:val="20"/>
                <w:lang w:eastAsia="es-ES"/>
              </w:rPr>
              <w:t>a</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z w:val="20"/>
                <w:szCs w:val="20"/>
                <w:lang w:eastAsia="es-ES"/>
              </w:rPr>
              <w:t>c</w:t>
            </w:r>
            <w:r w:rsidR="00E25F5F" w:rsidRPr="00A96B63">
              <w:rPr>
                <w:rFonts w:ascii="Calibri" w:eastAsia="Times New Roman" w:hAnsi="Calibri" w:cs="Calibri"/>
                <w:spacing w:val="-1"/>
                <w:sz w:val="20"/>
                <w:szCs w:val="20"/>
                <w:lang w:eastAsia="es-ES"/>
              </w:rPr>
              <w:t>umplimentació</w:t>
            </w:r>
            <w:r w:rsidR="00E25F5F" w:rsidRPr="00A96B63">
              <w:rPr>
                <w:rFonts w:ascii="Calibri" w:eastAsia="Times New Roman" w:hAnsi="Calibri" w:cs="Calibri"/>
                <w:sz w:val="20"/>
                <w:szCs w:val="20"/>
                <w:lang w:eastAsia="es-ES"/>
              </w:rPr>
              <w:t>n</w:t>
            </w:r>
            <w:r w:rsidR="00E25F5F" w:rsidRPr="00A96B63">
              <w:rPr>
                <w:rFonts w:ascii="Calibri" w:eastAsia="Times New Roman" w:hAnsi="Calibri" w:cs="Calibri"/>
                <w:spacing w:val="7"/>
                <w:sz w:val="20"/>
                <w:szCs w:val="20"/>
                <w:lang w:eastAsia="es-ES"/>
              </w:rPr>
              <w:t xml:space="preserve"> </w:t>
            </w:r>
            <w:r w:rsidR="00E25F5F" w:rsidRPr="00A96B63">
              <w:rPr>
                <w:rFonts w:ascii="Calibri" w:eastAsia="Times New Roman" w:hAnsi="Calibri" w:cs="Calibri"/>
                <w:spacing w:val="-2"/>
                <w:sz w:val="20"/>
                <w:szCs w:val="20"/>
                <w:lang w:eastAsia="es-ES"/>
              </w:rPr>
              <w:t>d</w:t>
            </w:r>
            <w:r w:rsidR="00E25F5F" w:rsidRPr="00A96B63">
              <w:rPr>
                <w:rFonts w:ascii="Calibri" w:eastAsia="Times New Roman" w:hAnsi="Calibri" w:cs="Calibri"/>
                <w:sz w:val="20"/>
                <w:szCs w:val="20"/>
                <w:lang w:eastAsia="es-ES"/>
              </w:rPr>
              <w:t xml:space="preserve">e </w:t>
            </w:r>
            <w:r w:rsidR="00E25F5F" w:rsidRPr="00A96B63">
              <w:rPr>
                <w:rFonts w:ascii="Calibri" w:eastAsia="Times New Roman" w:hAnsi="Calibri" w:cs="Calibri"/>
                <w:spacing w:val="-1"/>
                <w:sz w:val="20"/>
                <w:szCs w:val="20"/>
                <w:lang w:eastAsia="es-ES"/>
              </w:rPr>
              <w:t>la</w:t>
            </w:r>
            <w:r w:rsidR="00E25F5F" w:rsidRPr="00A96B63">
              <w:rPr>
                <w:rFonts w:ascii="Calibri" w:eastAsia="Times New Roman" w:hAnsi="Calibri" w:cs="Calibri"/>
                <w:sz w:val="20"/>
                <w:szCs w:val="20"/>
                <w:lang w:eastAsia="es-ES"/>
              </w:rPr>
              <w:t>s</w:t>
            </w:r>
            <w:r w:rsidR="00E25F5F" w:rsidRPr="00A96B63">
              <w:rPr>
                <w:rFonts w:ascii="Calibri" w:eastAsia="Times New Roman" w:hAnsi="Calibri" w:cs="Calibri"/>
                <w:spacing w:val="-1"/>
                <w:sz w:val="20"/>
                <w:szCs w:val="20"/>
                <w:lang w:eastAsia="es-ES"/>
              </w:rPr>
              <w:t xml:space="preserve"> enc</w:t>
            </w:r>
            <w:r w:rsidR="00E25F5F" w:rsidRPr="00A96B63">
              <w:rPr>
                <w:rFonts w:ascii="Calibri" w:eastAsia="Times New Roman" w:hAnsi="Calibri" w:cs="Calibri"/>
                <w:spacing w:val="-2"/>
                <w:sz w:val="20"/>
                <w:szCs w:val="20"/>
                <w:lang w:eastAsia="es-ES"/>
              </w:rPr>
              <w:t>u</w:t>
            </w:r>
            <w:r w:rsidR="00E25F5F" w:rsidRPr="00A96B63">
              <w:rPr>
                <w:rFonts w:ascii="Calibri" w:eastAsia="Times New Roman" w:hAnsi="Calibri" w:cs="Calibri"/>
                <w:sz w:val="20"/>
                <w:szCs w:val="20"/>
                <w:lang w:eastAsia="es-ES"/>
              </w:rPr>
              <w:t>e</w:t>
            </w:r>
            <w:r w:rsidR="00E25F5F" w:rsidRPr="00A96B63">
              <w:rPr>
                <w:rFonts w:ascii="Calibri" w:eastAsia="Times New Roman" w:hAnsi="Calibri" w:cs="Calibri"/>
                <w:spacing w:val="-1"/>
                <w:sz w:val="20"/>
                <w:szCs w:val="20"/>
                <w:lang w:eastAsia="es-ES"/>
              </w:rPr>
              <w:t>sta</w:t>
            </w:r>
            <w:r w:rsidR="00E25F5F" w:rsidRPr="00A96B63">
              <w:rPr>
                <w:rFonts w:ascii="Calibri" w:eastAsia="Times New Roman" w:hAnsi="Calibri" w:cs="Calibri"/>
                <w:sz w:val="20"/>
                <w:szCs w:val="20"/>
                <w:lang w:eastAsia="es-ES"/>
              </w:rPr>
              <w:t>s</w:t>
            </w:r>
            <w:r w:rsidR="00E25F5F" w:rsidRPr="00A96B63">
              <w:rPr>
                <w:rFonts w:ascii="Calibri" w:eastAsia="Times New Roman" w:hAnsi="Calibri" w:cs="Calibri"/>
                <w:spacing w:val="-1"/>
                <w:sz w:val="20"/>
                <w:szCs w:val="20"/>
                <w:lang w:eastAsia="es-ES"/>
              </w:rPr>
              <w:t xml:space="preserve"> </w:t>
            </w:r>
            <w:r w:rsidR="00E25F5F" w:rsidRPr="00A96B63">
              <w:rPr>
                <w:rFonts w:ascii="Calibri" w:eastAsia="Times New Roman" w:hAnsi="Calibri" w:cs="Calibri"/>
                <w:spacing w:val="-2"/>
                <w:sz w:val="20"/>
                <w:szCs w:val="20"/>
                <w:lang w:eastAsia="es-ES"/>
              </w:rPr>
              <w:t>g</w:t>
            </w:r>
            <w:r w:rsidR="00E25F5F" w:rsidRPr="00A96B63">
              <w:rPr>
                <w:rFonts w:ascii="Calibri" w:eastAsia="Times New Roman" w:hAnsi="Calibri" w:cs="Calibri"/>
                <w:spacing w:val="-1"/>
                <w:sz w:val="20"/>
                <w:szCs w:val="20"/>
                <w:lang w:eastAsia="es-ES"/>
              </w:rPr>
              <w:t>eneral</w:t>
            </w:r>
            <w:r w:rsidR="00E25F5F" w:rsidRPr="00A96B63">
              <w:rPr>
                <w:rFonts w:ascii="Calibri" w:eastAsia="Times New Roman" w:hAnsi="Calibri" w:cs="Calibri"/>
                <w:spacing w:val="-2"/>
                <w:sz w:val="20"/>
                <w:szCs w:val="20"/>
                <w:lang w:eastAsia="es-ES"/>
              </w:rPr>
              <w:t>e</w:t>
            </w:r>
            <w:r w:rsidR="00E25F5F" w:rsidRPr="00A96B63">
              <w:rPr>
                <w:rFonts w:ascii="Calibri" w:eastAsia="Times New Roman" w:hAnsi="Calibri" w:cs="Calibri"/>
                <w:sz w:val="20"/>
                <w:szCs w:val="20"/>
                <w:lang w:eastAsia="es-ES"/>
              </w:rPr>
              <w:t xml:space="preserve">s </w:t>
            </w:r>
            <w:r w:rsidR="00E25F5F" w:rsidRPr="00A96B63">
              <w:rPr>
                <w:rFonts w:ascii="Calibri" w:eastAsia="Times New Roman" w:hAnsi="Calibri" w:cs="Calibri"/>
                <w:spacing w:val="-1"/>
                <w:sz w:val="20"/>
                <w:szCs w:val="20"/>
                <w:lang w:eastAsia="es-ES"/>
              </w:rPr>
              <w:t>d</w:t>
            </w:r>
            <w:r w:rsidR="00E25F5F" w:rsidRPr="00A96B63">
              <w:rPr>
                <w:rFonts w:ascii="Calibri" w:eastAsia="Times New Roman" w:hAnsi="Calibri" w:cs="Calibri"/>
                <w:sz w:val="20"/>
                <w:szCs w:val="20"/>
                <w:lang w:eastAsia="es-ES"/>
              </w:rPr>
              <w:t>e</w:t>
            </w:r>
            <w:r w:rsidR="00E25F5F" w:rsidRPr="00A96B63">
              <w:rPr>
                <w:rFonts w:ascii="Calibri" w:eastAsia="Times New Roman" w:hAnsi="Calibri" w:cs="Calibri"/>
                <w:spacing w:val="-1"/>
                <w:sz w:val="20"/>
                <w:szCs w:val="20"/>
                <w:lang w:eastAsia="es-ES"/>
              </w:rPr>
              <w:t xml:space="preserve"> us</w:t>
            </w:r>
            <w:r w:rsidR="00E25F5F" w:rsidRPr="00A96B63">
              <w:rPr>
                <w:rFonts w:ascii="Calibri" w:eastAsia="Times New Roman" w:hAnsi="Calibri" w:cs="Calibri"/>
                <w:spacing w:val="-2"/>
                <w:sz w:val="20"/>
                <w:szCs w:val="20"/>
                <w:lang w:eastAsia="es-ES"/>
              </w:rPr>
              <w:t>u</w:t>
            </w:r>
            <w:r w:rsidR="00E25F5F" w:rsidRPr="00A96B63">
              <w:rPr>
                <w:rFonts w:ascii="Calibri" w:eastAsia="Times New Roman" w:hAnsi="Calibri" w:cs="Calibri"/>
                <w:sz w:val="20"/>
                <w:szCs w:val="20"/>
                <w:lang w:eastAsia="es-ES"/>
              </w:rPr>
              <w:t>a</w:t>
            </w:r>
            <w:r w:rsidR="00E25F5F" w:rsidRPr="00A96B63">
              <w:rPr>
                <w:rFonts w:ascii="Calibri" w:eastAsia="Times New Roman" w:hAnsi="Calibri" w:cs="Calibri"/>
                <w:spacing w:val="-1"/>
                <w:sz w:val="20"/>
                <w:szCs w:val="20"/>
                <w:lang w:eastAsia="es-ES"/>
              </w:rPr>
              <w:t>rios.</w:t>
            </w:r>
          </w:p>
          <w:p w:rsidR="00E25F5F" w:rsidRPr="00A96B63" w:rsidRDefault="00E25F5F" w:rsidP="00AE47AB">
            <w:pPr>
              <w:rPr>
                <w:sz w:val="20"/>
                <w:szCs w:val="20"/>
              </w:rPr>
            </w:pPr>
          </w:p>
        </w:tc>
      </w:tr>
    </w:tbl>
    <w:p w:rsidR="003C6F29" w:rsidRDefault="003C6F29" w:rsidP="00B0405F">
      <w:pPr>
        <w:spacing w:line="240" w:lineRule="auto"/>
      </w:pPr>
    </w:p>
    <w:p w:rsidR="00530859" w:rsidRDefault="00530859" w:rsidP="00B0405F">
      <w:pPr>
        <w:spacing w:line="240" w:lineRule="auto"/>
      </w:pPr>
    </w:p>
    <w:tbl>
      <w:tblPr>
        <w:tblStyle w:val="Tablaconcuadrcula"/>
        <w:tblW w:w="11238" w:type="dxa"/>
        <w:jc w:val="center"/>
        <w:tblLayout w:type="fixed"/>
        <w:tblLook w:val="04A0" w:firstRow="1" w:lastRow="0" w:firstColumn="1" w:lastColumn="0" w:noHBand="0" w:noVBand="1"/>
      </w:tblPr>
      <w:tblGrid>
        <w:gridCol w:w="2518"/>
        <w:gridCol w:w="567"/>
        <w:gridCol w:w="567"/>
        <w:gridCol w:w="2194"/>
        <w:gridCol w:w="1843"/>
        <w:gridCol w:w="3549"/>
      </w:tblGrid>
      <w:tr w:rsidR="005B38DB" w:rsidRPr="003B30FE" w:rsidTr="004435E0">
        <w:trPr>
          <w:trHeight w:val="450"/>
          <w:jc w:val="center"/>
        </w:trPr>
        <w:tc>
          <w:tcPr>
            <w:tcW w:w="2518" w:type="dxa"/>
            <w:vMerge w:val="restart"/>
            <w:tcBorders>
              <w:bottom w:val="single" w:sz="4" w:space="0" w:color="auto"/>
            </w:tcBorders>
            <w:shd w:val="clear" w:color="auto" w:fill="D9D9D9" w:themeFill="background1" w:themeFillShade="D9"/>
            <w:vAlign w:val="center"/>
          </w:tcPr>
          <w:p w:rsidR="005B38DB" w:rsidRPr="003B30FE" w:rsidRDefault="005B38DB" w:rsidP="004435E0">
            <w:pPr>
              <w:rPr>
                <w:b/>
                <w:sz w:val="18"/>
                <w:szCs w:val="18"/>
              </w:rPr>
            </w:pPr>
            <w:r w:rsidRPr="003B30FE">
              <w:rPr>
                <w:b/>
                <w:sz w:val="18"/>
                <w:szCs w:val="18"/>
              </w:rPr>
              <w:t>Código/Encuesta post</w:t>
            </w:r>
            <w:r>
              <w:rPr>
                <w:b/>
                <w:sz w:val="18"/>
                <w:szCs w:val="18"/>
              </w:rPr>
              <w:t>-</w:t>
            </w:r>
            <w:r w:rsidRPr="003B30FE">
              <w:rPr>
                <w:b/>
                <w:sz w:val="18"/>
                <w:szCs w:val="18"/>
              </w:rPr>
              <w:t>servicio</w:t>
            </w:r>
          </w:p>
        </w:tc>
        <w:tc>
          <w:tcPr>
            <w:tcW w:w="1134" w:type="dxa"/>
            <w:gridSpan w:val="2"/>
            <w:tcBorders>
              <w:bottom w:val="single" w:sz="4" w:space="0" w:color="auto"/>
            </w:tcBorders>
            <w:vAlign w:val="center"/>
          </w:tcPr>
          <w:p w:rsidR="005B38DB" w:rsidRPr="003B30FE" w:rsidRDefault="005B38DB" w:rsidP="004435E0">
            <w:pPr>
              <w:jc w:val="center"/>
              <w:rPr>
                <w:sz w:val="18"/>
                <w:szCs w:val="18"/>
              </w:rPr>
            </w:pPr>
            <w:r w:rsidRPr="003B30FE">
              <w:rPr>
                <w:sz w:val="18"/>
                <w:szCs w:val="18"/>
              </w:rPr>
              <w:t>Realizada</w:t>
            </w:r>
          </w:p>
        </w:tc>
        <w:tc>
          <w:tcPr>
            <w:tcW w:w="2194" w:type="dxa"/>
            <w:vMerge w:val="restart"/>
            <w:tcBorders>
              <w:bottom w:val="single" w:sz="4" w:space="0" w:color="auto"/>
            </w:tcBorders>
            <w:vAlign w:val="center"/>
          </w:tcPr>
          <w:p w:rsidR="005B38DB" w:rsidRPr="003B30FE" w:rsidRDefault="005B38DB" w:rsidP="004435E0">
            <w:pPr>
              <w:jc w:val="center"/>
              <w:rPr>
                <w:sz w:val="18"/>
                <w:szCs w:val="18"/>
              </w:rPr>
            </w:pPr>
            <w:r>
              <w:rPr>
                <w:sz w:val="18"/>
                <w:szCs w:val="18"/>
              </w:rPr>
              <w:t xml:space="preserve">Valoración, análisis de resultados y acciones de mejora  </w:t>
            </w:r>
            <w:r w:rsidRPr="003B30FE">
              <w:rPr>
                <w:sz w:val="18"/>
                <w:szCs w:val="18"/>
              </w:rPr>
              <w:t>por el Servicio/Unidad</w:t>
            </w:r>
          </w:p>
        </w:tc>
        <w:tc>
          <w:tcPr>
            <w:tcW w:w="1843" w:type="dxa"/>
            <w:vMerge w:val="restart"/>
            <w:tcBorders>
              <w:bottom w:val="single" w:sz="4" w:space="0" w:color="auto"/>
            </w:tcBorders>
          </w:tcPr>
          <w:p w:rsidR="005B38DB" w:rsidRPr="003B30FE" w:rsidRDefault="005B38DB" w:rsidP="004435E0">
            <w:pPr>
              <w:jc w:val="center"/>
              <w:rPr>
                <w:sz w:val="18"/>
                <w:szCs w:val="18"/>
              </w:rPr>
            </w:pPr>
            <w:r>
              <w:rPr>
                <w:sz w:val="18"/>
                <w:szCs w:val="18"/>
              </w:rPr>
              <w:t>Acciones para mejorar los índices de participación</w:t>
            </w:r>
          </w:p>
        </w:tc>
        <w:tc>
          <w:tcPr>
            <w:tcW w:w="3549" w:type="dxa"/>
            <w:vMerge w:val="restart"/>
            <w:vAlign w:val="center"/>
          </w:tcPr>
          <w:p w:rsidR="005B38DB" w:rsidRPr="009058B9" w:rsidRDefault="005B38DB" w:rsidP="004435E0">
            <w:pPr>
              <w:jc w:val="center"/>
              <w:rPr>
                <w:b/>
                <w:sz w:val="18"/>
                <w:szCs w:val="18"/>
              </w:rPr>
            </w:pPr>
            <w:r w:rsidRPr="003B30FE">
              <w:rPr>
                <w:sz w:val="18"/>
                <w:szCs w:val="18"/>
              </w:rPr>
              <w:t>Valoración de auditoría de las mejoras implantadas</w:t>
            </w:r>
            <w:r>
              <w:rPr>
                <w:sz w:val="18"/>
                <w:szCs w:val="18"/>
              </w:rPr>
              <w:t xml:space="preserve"> en su caso, y las acciones para mejorar de los índices de participación en las encuestas </w:t>
            </w:r>
          </w:p>
        </w:tc>
      </w:tr>
      <w:tr w:rsidR="005B38DB" w:rsidRPr="003B30FE" w:rsidTr="004435E0">
        <w:trPr>
          <w:trHeight w:val="120"/>
          <w:jc w:val="center"/>
        </w:trPr>
        <w:tc>
          <w:tcPr>
            <w:tcW w:w="2518" w:type="dxa"/>
            <w:vMerge/>
            <w:shd w:val="clear" w:color="auto" w:fill="D9D9D9" w:themeFill="background1" w:themeFillShade="D9"/>
            <w:vAlign w:val="center"/>
          </w:tcPr>
          <w:p w:rsidR="005B38DB" w:rsidRPr="003B30FE" w:rsidRDefault="005B38DB" w:rsidP="004435E0">
            <w:pPr>
              <w:rPr>
                <w:b/>
                <w:sz w:val="18"/>
                <w:szCs w:val="18"/>
              </w:rPr>
            </w:pPr>
          </w:p>
        </w:tc>
        <w:tc>
          <w:tcPr>
            <w:tcW w:w="567" w:type="dxa"/>
            <w:vAlign w:val="center"/>
          </w:tcPr>
          <w:p w:rsidR="005B38DB" w:rsidRPr="003B30FE" w:rsidRDefault="005B38DB" w:rsidP="004435E0">
            <w:pPr>
              <w:jc w:val="center"/>
              <w:rPr>
                <w:sz w:val="18"/>
                <w:szCs w:val="18"/>
              </w:rPr>
            </w:pPr>
            <w:r w:rsidRPr="003B30FE">
              <w:rPr>
                <w:sz w:val="18"/>
                <w:szCs w:val="18"/>
              </w:rPr>
              <w:t>Sí</w:t>
            </w:r>
          </w:p>
        </w:tc>
        <w:tc>
          <w:tcPr>
            <w:tcW w:w="567" w:type="dxa"/>
            <w:vAlign w:val="center"/>
          </w:tcPr>
          <w:p w:rsidR="005B38DB" w:rsidRPr="003B30FE" w:rsidRDefault="005B38DB" w:rsidP="004435E0">
            <w:pPr>
              <w:jc w:val="center"/>
              <w:rPr>
                <w:sz w:val="18"/>
                <w:szCs w:val="18"/>
              </w:rPr>
            </w:pPr>
            <w:r w:rsidRPr="003B30FE">
              <w:rPr>
                <w:sz w:val="18"/>
                <w:szCs w:val="18"/>
              </w:rPr>
              <w:t>No</w:t>
            </w:r>
          </w:p>
        </w:tc>
        <w:tc>
          <w:tcPr>
            <w:tcW w:w="2194" w:type="dxa"/>
            <w:vMerge/>
            <w:vAlign w:val="center"/>
          </w:tcPr>
          <w:p w:rsidR="005B38DB" w:rsidRPr="003B30FE" w:rsidRDefault="005B38DB" w:rsidP="004435E0">
            <w:pPr>
              <w:jc w:val="center"/>
              <w:rPr>
                <w:sz w:val="18"/>
                <w:szCs w:val="18"/>
              </w:rPr>
            </w:pPr>
          </w:p>
        </w:tc>
        <w:tc>
          <w:tcPr>
            <w:tcW w:w="1843" w:type="dxa"/>
            <w:vMerge/>
          </w:tcPr>
          <w:p w:rsidR="005B38DB" w:rsidRPr="003B30FE" w:rsidRDefault="005B38DB" w:rsidP="004435E0">
            <w:pPr>
              <w:jc w:val="center"/>
              <w:rPr>
                <w:sz w:val="18"/>
                <w:szCs w:val="18"/>
              </w:rPr>
            </w:pPr>
          </w:p>
        </w:tc>
        <w:tc>
          <w:tcPr>
            <w:tcW w:w="3549" w:type="dxa"/>
            <w:vMerge/>
            <w:vAlign w:val="center"/>
          </w:tcPr>
          <w:p w:rsidR="005B38DB" w:rsidRPr="009058B9" w:rsidRDefault="005B38DB" w:rsidP="004435E0">
            <w:pPr>
              <w:jc w:val="center"/>
              <w:rPr>
                <w:b/>
                <w:sz w:val="18"/>
                <w:szCs w:val="18"/>
              </w:rPr>
            </w:pPr>
          </w:p>
        </w:tc>
      </w:tr>
      <w:tr w:rsidR="005B38DB" w:rsidRPr="003B30FE" w:rsidTr="004435E0">
        <w:trPr>
          <w:jc w:val="center"/>
        </w:trPr>
        <w:tc>
          <w:tcPr>
            <w:tcW w:w="2518" w:type="dxa"/>
            <w:shd w:val="clear" w:color="auto" w:fill="D9D9D9" w:themeFill="background1" w:themeFillShade="D9"/>
            <w:vAlign w:val="center"/>
          </w:tcPr>
          <w:p w:rsidR="005B38DB" w:rsidRPr="003B30FE" w:rsidRDefault="00273546" w:rsidP="004435E0">
            <w:pP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EP_42_PC08</w:t>
            </w:r>
          </w:p>
        </w:tc>
        <w:tc>
          <w:tcPr>
            <w:tcW w:w="567" w:type="dxa"/>
          </w:tcPr>
          <w:p w:rsidR="005B38DB" w:rsidRPr="00A96B63" w:rsidRDefault="00155C43" w:rsidP="004435E0">
            <w:pPr>
              <w:rPr>
                <w:sz w:val="20"/>
                <w:szCs w:val="20"/>
              </w:rPr>
            </w:pPr>
            <w:r w:rsidRPr="00A96B63">
              <w:rPr>
                <w:sz w:val="20"/>
                <w:szCs w:val="20"/>
              </w:rPr>
              <w:t>X</w:t>
            </w:r>
          </w:p>
        </w:tc>
        <w:tc>
          <w:tcPr>
            <w:tcW w:w="567" w:type="dxa"/>
          </w:tcPr>
          <w:p w:rsidR="005B38DB" w:rsidRPr="00A96B63" w:rsidRDefault="005B38DB" w:rsidP="004435E0">
            <w:pPr>
              <w:rPr>
                <w:sz w:val="20"/>
                <w:szCs w:val="20"/>
              </w:rPr>
            </w:pPr>
          </w:p>
        </w:tc>
        <w:tc>
          <w:tcPr>
            <w:tcW w:w="2194" w:type="dxa"/>
            <w:vAlign w:val="center"/>
          </w:tcPr>
          <w:p w:rsidR="005B38DB" w:rsidRPr="00A96B63" w:rsidRDefault="00AE47AB" w:rsidP="004435E0">
            <w:pPr>
              <w:rPr>
                <w:sz w:val="20"/>
                <w:szCs w:val="20"/>
              </w:rPr>
            </w:pPr>
            <w:r w:rsidRPr="00A96B63">
              <w:rPr>
                <w:sz w:val="20"/>
                <w:szCs w:val="20"/>
              </w:rPr>
              <w:t>X</w:t>
            </w:r>
          </w:p>
        </w:tc>
        <w:tc>
          <w:tcPr>
            <w:tcW w:w="1843" w:type="dxa"/>
          </w:tcPr>
          <w:p w:rsidR="005B38DB" w:rsidRPr="00A96B63" w:rsidRDefault="00AE47AB" w:rsidP="004435E0">
            <w:pPr>
              <w:rPr>
                <w:sz w:val="20"/>
                <w:szCs w:val="20"/>
              </w:rPr>
            </w:pPr>
            <w:r w:rsidRPr="00A96B63">
              <w:rPr>
                <w:sz w:val="20"/>
                <w:szCs w:val="20"/>
              </w:rPr>
              <w:t>NO</w:t>
            </w:r>
          </w:p>
        </w:tc>
        <w:tc>
          <w:tcPr>
            <w:tcW w:w="3549" w:type="dxa"/>
            <w:vAlign w:val="center"/>
          </w:tcPr>
          <w:p w:rsidR="005B38DB" w:rsidRPr="00A96B63" w:rsidRDefault="005B38DB" w:rsidP="004435E0">
            <w:pPr>
              <w:rPr>
                <w:b/>
                <w:sz w:val="20"/>
                <w:szCs w:val="20"/>
              </w:rPr>
            </w:pPr>
          </w:p>
        </w:tc>
      </w:tr>
      <w:tr w:rsidR="005B38DB" w:rsidRPr="003B30FE" w:rsidTr="004435E0">
        <w:trPr>
          <w:jc w:val="center"/>
        </w:trPr>
        <w:tc>
          <w:tcPr>
            <w:tcW w:w="2518" w:type="dxa"/>
            <w:shd w:val="clear" w:color="auto" w:fill="D9D9D9" w:themeFill="background1" w:themeFillShade="D9"/>
            <w:vAlign w:val="center"/>
          </w:tcPr>
          <w:p w:rsidR="005B38DB" w:rsidRDefault="005B38DB" w:rsidP="004435E0">
            <w:pPr>
              <w:rPr>
                <w:b/>
                <w:sz w:val="18"/>
                <w:szCs w:val="18"/>
              </w:rPr>
            </w:pPr>
            <w:r w:rsidRPr="003B30FE">
              <w:rPr>
                <w:b/>
                <w:sz w:val="18"/>
                <w:szCs w:val="18"/>
              </w:rPr>
              <w:t>Valoración de auditoría</w:t>
            </w:r>
          </w:p>
          <w:p w:rsidR="005B38DB" w:rsidRDefault="005B38DB" w:rsidP="004435E0">
            <w:pPr>
              <w:rPr>
                <w:b/>
                <w:sz w:val="18"/>
                <w:szCs w:val="18"/>
              </w:rPr>
            </w:pPr>
          </w:p>
          <w:p w:rsidR="005B38DB" w:rsidRDefault="005B38DB" w:rsidP="004435E0">
            <w:pPr>
              <w:rPr>
                <w:b/>
                <w:sz w:val="18"/>
                <w:szCs w:val="18"/>
              </w:rPr>
            </w:pPr>
          </w:p>
          <w:p w:rsidR="005B38DB" w:rsidRDefault="005B38DB" w:rsidP="004435E0">
            <w:pPr>
              <w:rPr>
                <w:b/>
                <w:sz w:val="18"/>
                <w:szCs w:val="18"/>
              </w:rPr>
            </w:pPr>
          </w:p>
          <w:p w:rsidR="005B38DB" w:rsidRPr="003B30FE" w:rsidRDefault="005B38DB" w:rsidP="004435E0">
            <w:pPr>
              <w:rPr>
                <w:rFonts w:ascii="Calibri" w:eastAsia="Times New Roman" w:hAnsi="Calibri" w:cs="Times New Roman"/>
                <w:color w:val="000000"/>
                <w:sz w:val="18"/>
                <w:szCs w:val="18"/>
                <w:lang w:eastAsia="es-ES"/>
              </w:rPr>
            </w:pPr>
          </w:p>
        </w:tc>
        <w:tc>
          <w:tcPr>
            <w:tcW w:w="8720" w:type="dxa"/>
            <w:gridSpan w:val="5"/>
          </w:tcPr>
          <w:p w:rsidR="005B38DB" w:rsidRPr="00A96B63" w:rsidRDefault="00DB2BDF" w:rsidP="00DB2BDF">
            <w:pPr>
              <w:rPr>
                <w:sz w:val="20"/>
                <w:szCs w:val="20"/>
              </w:rPr>
            </w:pPr>
            <w:r w:rsidRPr="00121809">
              <w:rPr>
                <w:rFonts w:ascii="Calibri" w:eastAsia="Times New Roman" w:hAnsi="Calibri" w:cs="Times New Roman"/>
                <w:lang w:eastAsia="es-ES"/>
              </w:rPr>
              <w:t>Se verifica que se ha alineado la escala de valoración de los ítems de la encuesta post</w:t>
            </w:r>
            <w:r w:rsidR="00CF3C1B">
              <w:rPr>
                <w:rFonts w:ascii="Calibri" w:eastAsia="Times New Roman" w:hAnsi="Calibri" w:cs="Times New Roman"/>
                <w:lang w:eastAsia="es-ES"/>
              </w:rPr>
              <w:t>-</w:t>
            </w:r>
            <w:r w:rsidRPr="00121809">
              <w:rPr>
                <w:rFonts w:ascii="Calibri" w:eastAsia="Times New Roman" w:hAnsi="Calibri" w:cs="Times New Roman"/>
                <w:lang w:eastAsia="es-ES"/>
              </w:rPr>
              <w:t>servicio  al objeto de homogeneizarla con los requisitos del sistema de información del SIGC-SUA.</w:t>
            </w:r>
            <w:r w:rsidR="00AE47AB" w:rsidRPr="00A96B63">
              <w:rPr>
                <w:sz w:val="20"/>
                <w:szCs w:val="20"/>
              </w:rPr>
              <w:t xml:space="preserve"> Los índices de participación están algo más elevados, pero la unidad no  </w:t>
            </w:r>
            <w:r w:rsidR="00F50D99">
              <w:rPr>
                <w:sz w:val="20"/>
                <w:szCs w:val="20"/>
              </w:rPr>
              <w:t xml:space="preserve">ha analizado las causas. </w:t>
            </w:r>
          </w:p>
        </w:tc>
      </w:tr>
    </w:tbl>
    <w:p w:rsidR="00530859" w:rsidRDefault="00530859" w:rsidP="00B0405F">
      <w:pPr>
        <w:spacing w:line="240" w:lineRule="auto"/>
      </w:pPr>
    </w:p>
    <w:p w:rsidR="00E17E70" w:rsidRDefault="00E17E70" w:rsidP="00B0405F">
      <w:pPr>
        <w:spacing w:line="240" w:lineRule="auto"/>
      </w:pPr>
    </w:p>
    <w:p w:rsidR="008E7912" w:rsidRDefault="008E7912">
      <w:pPr>
        <w:rPr>
          <w:b/>
        </w:rPr>
      </w:pPr>
      <w:r>
        <w:rPr>
          <w:b/>
        </w:rPr>
        <w:br w:type="page"/>
      </w:r>
    </w:p>
    <w:p w:rsidR="00E178D9" w:rsidRPr="00616300" w:rsidRDefault="00616300" w:rsidP="00B0405F">
      <w:pPr>
        <w:spacing w:line="240" w:lineRule="auto"/>
        <w:rPr>
          <w:b/>
        </w:rPr>
      </w:pPr>
      <w:r w:rsidRPr="00616300">
        <w:rPr>
          <w:b/>
        </w:rPr>
        <w:lastRenderedPageBreak/>
        <w:t>6.- Propuestas de mejora de procesos, riesgos, oportunidades de mejora y  observaciones de Auditorías.</w:t>
      </w:r>
    </w:p>
    <w:p w:rsidR="004C4266" w:rsidRPr="00412009" w:rsidRDefault="004C4266" w:rsidP="004C4266">
      <w:pPr>
        <w:spacing w:line="240" w:lineRule="auto"/>
        <w:jc w:val="both"/>
      </w:pPr>
    </w:p>
    <w:p w:rsidR="00E954BB" w:rsidRPr="002413BD" w:rsidRDefault="002413BD" w:rsidP="00E954BB">
      <w:pPr>
        <w:rPr>
          <w:b/>
        </w:rPr>
      </w:pPr>
      <w:r>
        <w:rPr>
          <w:b/>
        </w:rPr>
        <w:t xml:space="preserve">6.1 </w:t>
      </w:r>
      <w:r w:rsidRPr="002413BD">
        <w:rPr>
          <w:b/>
        </w:rPr>
        <w:t>Seguimiento de actuaciones del Informe de Auditoría Externa ciclo 2014.</w:t>
      </w:r>
    </w:p>
    <w:p w:rsidR="00B24E6F" w:rsidRDefault="00B24E6F" w:rsidP="00E954BB">
      <w:pPr>
        <w:rPr>
          <w:b/>
        </w:rPr>
      </w:pPr>
    </w:p>
    <w:p w:rsidR="002413BD" w:rsidRDefault="008E7912" w:rsidP="00E954BB">
      <w:pPr>
        <w:rPr>
          <w:b/>
        </w:rPr>
      </w:pPr>
      <w:r>
        <w:t>No procede para la UTLA.</w:t>
      </w:r>
    </w:p>
    <w:p w:rsidR="002413BD" w:rsidRPr="002413BD" w:rsidRDefault="002413BD" w:rsidP="00E954BB">
      <w:pPr>
        <w:rPr>
          <w:b/>
        </w:rPr>
      </w:pPr>
    </w:p>
    <w:p w:rsidR="00E954BB" w:rsidRPr="002413BD" w:rsidRDefault="002413BD" w:rsidP="00E954BB">
      <w:pPr>
        <w:rPr>
          <w:b/>
        </w:rPr>
      </w:pPr>
      <w:r>
        <w:rPr>
          <w:b/>
        </w:rPr>
        <w:t xml:space="preserve">6.2 </w:t>
      </w:r>
      <w:r w:rsidRPr="002413BD">
        <w:rPr>
          <w:b/>
        </w:rPr>
        <w:t>Seguimiento de actuaciones del Informe de Auditoría Interna ciclo 2014</w:t>
      </w:r>
    </w:p>
    <w:p w:rsidR="008E7912" w:rsidRDefault="008E7912" w:rsidP="00E954BB">
      <w:pP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ab/>
      </w:r>
    </w:p>
    <w:tbl>
      <w:tblPr>
        <w:tblW w:w="5000" w:type="pct"/>
        <w:tblLayout w:type="fixed"/>
        <w:tblCellMar>
          <w:left w:w="70" w:type="dxa"/>
          <w:right w:w="70" w:type="dxa"/>
        </w:tblCellMar>
        <w:tblLook w:val="04A0" w:firstRow="1" w:lastRow="0" w:firstColumn="1" w:lastColumn="0" w:noHBand="0" w:noVBand="1"/>
      </w:tblPr>
      <w:tblGrid>
        <w:gridCol w:w="1149"/>
        <w:gridCol w:w="1047"/>
        <w:gridCol w:w="1136"/>
        <w:gridCol w:w="6561"/>
      </w:tblGrid>
      <w:tr w:rsidR="004435E0" w:rsidRPr="004435E0" w:rsidTr="004435E0">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529" w:type="pct"/>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sz w:val="16"/>
                <w:lang w:eastAsia="es-ES"/>
              </w:rPr>
              <w:t>82-2015-AIS</w:t>
            </w:r>
          </w:p>
        </w:tc>
        <w:tc>
          <w:tcPr>
            <w:tcW w:w="574" w:type="pct"/>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316"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Indicadores</w:t>
            </w:r>
          </w:p>
        </w:tc>
      </w:tr>
      <w:tr w:rsidR="004435E0" w:rsidRPr="004435E0" w:rsidTr="004435E0">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Laboratorios de Apoyo a Departamentos, Institutos y Centros de Investigación.</w:t>
            </w:r>
          </w:p>
        </w:tc>
      </w:tr>
      <w:tr w:rsidR="004435E0" w:rsidRPr="004435E0" w:rsidTr="004435E0">
        <w:trPr>
          <w:trHeight w:val="915"/>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La Unidad del Departamento de Departamento de Enfermería el indicador I</w:t>
            </w:r>
            <w:proofErr w:type="gramStart"/>
            <w:r w:rsidRPr="004435E0">
              <w:rPr>
                <w:rFonts w:ascii="Calibri" w:eastAsia="Times New Roman" w:hAnsi="Calibri" w:cs="Times New Roman"/>
                <w:color w:val="000000"/>
                <w:lang w:eastAsia="es-ES"/>
              </w:rPr>
              <w:t>.[</w:t>
            </w:r>
            <w:proofErr w:type="gramEnd"/>
            <w:r w:rsidRPr="004435E0">
              <w:rPr>
                <w:rFonts w:ascii="Calibri" w:eastAsia="Times New Roman" w:hAnsi="Calibri" w:cs="Times New Roman"/>
                <w:color w:val="000000"/>
                <w:lang w:eastAsia="es-ES"/>
              </w:rPr>
              <w:t>PC 08.2]-07 Porcentaje de adecuación funcional de recursos para prácticas docentes actualmente no se alcanza el objetivo, aunque su previsión es de cumplimiento.</w:t>
            </w:r>
          </w:p>
        </w:tc>
      </w:tr>
      <w:tr w:rsidR="004435E0" w:rsidRPr="004435E0" w:rsidTr="004435E0">
        <w:trPr>
          <w:trHeight w:val="1065"/>
        </w:trPr>
        <w:tc>
          <w:tcPr>
            <w:tcW w:w="168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316" w:type="pct"/>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Se traslada dicha información al Grupo de Seguimiento de Indicadores, el cual se encarga de poner en aviso de esta incidencia al depar</w:t>
            </w:r>
            <w:r w:rsidR="00F50D99">
              <w:rPr>
                <w:rFonts w:ascii="Calibri" w:eastAsia="Times New Roman" w:hAnsi="Calibri" w:cs="Times New Roman"/>
                <w:lang w:eastAsia="es-ES"/>
              </w:rPr>
              <w:t>t</w:t>
            </w:r>
            <w:r w:rsidRPr="004435E0">
              <w:rPr>
                <w:rFonts w:ascii="Calibri" w:eastAsia="Times New Roman" w:hAnsi="Calibri" w:cs="Times New Roman"/>
                <w:lang w:eastAsia="es-ES"/>
              </w:rPr>
              <w:t>amento afectado. Se termina el ciclo con el cumplimiento del indicador por parte del Departamento de Enfermería</w:t>
            </w:r>
          </w:p>
        </w:tc>
      </w:tr>
      <w:tr w:rsidR="004435E0" w:rsidRPr="004435E0" w:rsidTr="004435E0">
        <w:trPr>
          <w:trHeight w:val="300"/>
        </w:trPr>
        <w:tc>
          <w:tcPr>
            <w:tcW w:w="168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316" w:type="pct"/>
            <w:tcBorders>
              <w:top w:val="single" w:sz="4" w:space="0" w:color="808080"/>
              <w:left w:val="nil"/>
              <w:bottom w:val="single" w:sz="4" w:space="0" w:color="808080"/>
              <w:right w:val="double" w:sz="6" w:space="0" w:color="808080"/>
            </w:tcBorders>
            <w:shd w:val="clear" w:color="auto" w:fill="auto"/>
            <w:vAlign w:val="center"/>
            <w:hideMark/>
          </w:tcPr>
          <w:p w:rsidR="004435E0" w:rsidRDefault="005173F5" w:rsidP="004435E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Se verifica el cumplimiento del </w:t>
            </w:r>
            <w:r w:rsidRPr="004435E0">
              <w:rPr>
                <w:rFonts w:ascii="Calibri" w:eastAsia="Times New Roman" w:hAnsi="Calibri" w:cs="Times New Roman"/>
                <w:color w:val="000000"/>
                <w:lang w:eastAsia="es-ES"/>
              </w:rPr>
              <w:t>indicador I</w:t>
            </w:r>
            <w:proofErr w:type="gramStart"/>
            <w:r w:rsidRPr="004435E0">
              <w:rPr>
                <w:rFonts w:ascii="Calibri" w:eastAsia="Times New Roman" w:hAnsi="Calibri" w:cs="Times New Roman"/>
                <w:color w:val="000000"/>
                <w:lang w:eastAsia="es-ES"/>
              </w:rPr>
              <w:t>.[</w:t>
            </w:r>
            <w:proofErr w:type="gramEnd"/>
            <w:r w:rsidRPr="004435E0">
              <w:rPr>
                <w:rFonts w:ascii="Calibri" w:eastAsia="Times New Roman" w:hAnsi="Calibri" w:cs="Times New Roman"/>
                <w:color w:val="000000"/>
                <w:lang w:eastAsia="es-ES"/>
              </w:rPr>
              <w:t>PC 08.2]-07</w:t>
            </w:r>
            <w:r>
              <w:rPr>
                <w:rFonts w:ascii="Calibri" w:eastAsia="Times New Roman" w:hAnsi="Calibri" w:cs="Times New Roman"/>
                <w:color w:val="000000"/>
                <w:lang w:eastAsia="es-ES"/>
              </w:rPr>
              <w:t xml:space="preserve"> en el Departamento de Enfermería con un valor del 100%.</w:t>
            </w:r>
          </w:p>
          <w:p w:rsidR="005173F5" w:rsidRPr="004435E0" w:rsidRDefault="005173F5" w:rsidP="004435E0">
            <w:pPr>
              <w:spacing w:line="240" w:lineRule="auto"/>
              <w:rPr>
                <w:rFonts w:ascii="Calibri" w:eastAsia="Times New Roman" w:hAnsi="Calibri" w:cs="Times New Roman"/>
                <w:color w:val="000000"/>
                <w:lang w:eastAsia="es-ES"/>
              </w:rPr>
            </w:pPr>
          </w:p>
        </w:tc>
      </w:tr>
      <w:tr w:rsidR="004435E0" w:rsidRPr="004435E0" w:rsidTr="004435E0">
        <w:trPr>
          <w:trHeight w:val="315"/>
        </w:trPr>
        <w:tc>
          <w:tcPr>
            <w:tcW w:w="1684"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316" w:type="pct"/>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5173F5">
              <w:rPr>
                <w:rFonts w:ascii="Calibri" w:eastAsia="Times New Roman" w:hAnsi="Calibri" w:cs="Times New Roman"/>
                <w:color w:val="000000"/>
                <w:lang w:eastAsia="es-ES"/>
              </w:rPr>
              <w:t>Cumplido</w:t>
            </w:r>
          </w:p>
        </w:tc>
      </w:tr>
    </w:tbl>
    <w:p w:rsidR="008E7912" w:rsidRDefault="008E7912" w:rsidP="00E954BB">
      <w:pPr>
        <w:rPr>
          <w:rFonts w:ascii="Calibri" w:eastAsia="Times New Roman" w:hAnsi="Calibri" w:cs="Times New Roman"/>
          <w:b/>
          <w:bCs/>
          <w:color w:val="000000"/>
          <w:lang w:eastAsia="es-ES"/>
        </w:rPr>
      </w:pPr>
    </w:p>
    <w:tbl>
      <w:tblPr>
        <w:tblW w:w="5000" w:type="pct"/>
        <w:tblCellMar>
          <w:left w:w="70" w:type="dxa"/>
          <w:right w:w="70" w:type="dxa"/>
        </w:tblCellMar>
        <w:tblLook w:val="04A0" w:firstRow="1" w:lastRow="0" w:firstColumn="1" w:lastColumn="0" w:noHBand="0" w:noVBand="1"/>
      </w:tblPr>
      <w:tblGrid>
        <w:gridCol w:w="920"/>
        <w:gridCol w:w="229"/>
        <w:gridCol w:w="857"/>
        <w:gridCol w:w="1116"/>
        <w:gridCol w:w="6771"/>
      </w:tblGrid>
      <w:tr w:rsidR="004435E0" w:rsidRPr="004435E0" w:rsidTr="004435E0">
        <w:trPr>
          <w:trHeight w:val="315"/>
        </w:trPr>
        <w:tc>
          <w:tcPr>
            <w:tcW w:w="465"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549"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sz w:val="16"/>
                <w:lang w:eastAsia="es-ES"/>
              </w:rPr>
              <w:t>83-2015-AIA</w:t>
            </w:r>
          </w:p>
        </w:tc>
        <w:tc>
          <w:tcPr>
            <w:tcW w:w="564" w:type="pct"/>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422"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Indicadores</w:t>
            </w:r>
          </w:p>
        </w:tc>
      </w:tr>
      <w:tr w:rsidR="004435E0" w:rsidRPr="004435E0" w:rsidTr="004435E0">
        <w:trPr>
          <w:trHeight w:val="345"/>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 08.2 Gestión de Apoyo Técnico e Instrumental para el desarrollo de la Actividad Práctica Docente e Investigadora</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Laboratorios de Apoyo a Departamentos, Institutos y Centros de Investigación.</w:t>
            </w:r>
          </w:p>
        </w:tc>
      </w:tr>
      <w:tr w:rsidR="004435E0" w:rsidRPr="004435E0" w:rsidTr="004435E0">
        <w:trPr>
          <w:trHeight w:val="72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 recomienda que se establezca un valor objetivo para el indicador I.[ PC 08.2]-05 “Porcentaje de asistencias técnicas finalizadas desde su tramitación en los siguientes plazos: 2, 5 10 y 20 días hábiles”</w:t>
            </w:r>
          </w:p>
        </w:tc>
      </w:tr>
      <w:tr w:rsidR="004435E0" w:rsidRPr="004435E0" w:rsidTr="004435E0">
        <w:trPr>
          <w:trHeight w:val="300"/>
        </w:trPr>
        <w:tc>
          <w:tcPr>
            <w:tcW w:w="1578"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2" w:type="pct"/>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Se establece dicho objetivo.</w:t>
            </w:r>
          </w:p>
        </w:tc>
      </w:tr>
      <w:tr w:rsidR="004435E0" w:rsidRPr="004435E0" w:rsidTr="004435E0">
        <w:trPr>
          <w:trHeight w:val="300"/>
        </w:trPr>
        <w:tc>
          <w:tcPr>
            <w:tcW w:w="1578"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2" w:type="pct"/>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5173F5">
              <w:rPr>
                <w:rFonts w:ascii="Calibri" w:eastAsia="Times New Roman" w:hAnsi="Calibri" w:cs="Times New Roman"/>
                <w:color w:val="000000"/>
                <w:lang w:eastAsia="es-ES"/>
              </w:rPr>
              <w:t>Se verifica la medición del indicador en los cuatro plazos propuestos.</w:t>
            </w:r>
          </w:p>
        </w:tc>
      </w:tr>
      <w:tr w:rsidR="004435E0" w:rsidRPr="004435E0" w:rsidTr="004435E0">
        <w:trPr>
          <w:trHeight w:val="315"/>
        </w:trPr>
        <w:tc>
          <w:tcPr>
            <w:tcW w:w="1578"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2" w:type="pct"/>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5173F5">
              <w:rPr>
                <w:rFonts w:ascii="Calibri" w:eastAsia="Times New Roman" w:hAnsi="Calibri" w:cs="Times New Roman"/>
                <w:color w:val="000000"/>
                <w:lang w:eastAsia="es-ES"/>
              </w:rPr>
              <w:t>Cumplido</w:t>
            </w:r>
          </w:p>
        </w:tc>
      </w:tr>
    </w:tbl>
    <w:p w:rsidR="008E7912" w:rsidRDefault="008E7912" w:rsidP="00E954BB">
      <w:pPr>
        <w:rPr>
          <w:rFonts w:ascii="Calibri" w:eastAsia="Times New Roman" w:hAnsi="Calibri" w:cs="Times New Roman"/>
          <w:b/>
          <w:bCs/>
          <w:color w:val="000000"/>
          <w:lang w:eastAsia="es-ES"/>
        </w:rPr>
      </w:pPr>
    </w:p>
    <w:tbl>
      <w:tblPr>
        <w:tblW w:w="5000" w:type="pct"/>
        <w:tblLayout w:type="fixed"/>
        <w:tblCellMar>
          <w:left w:w="70" w:type="dxa"/>
          <w:right w:w="70" w:type="dxa"/>
        </w:tblCellMar>
        <w:tblLook w:val="04A0" w:firstRow="1" w:lastRow="0" w:firstColumn="1" w:lastColumn="0" w:noHBand="0" w:noVBand="1"/>
      </w:tblPr>
      <w:tblGrid>
        <w:gridCol w:w="779"/>
        <w:gridCol w:w="370"/>
        <w:gridCol w:w="1049"/>
        <w:gridCol w:w="928"/>
        <w:gridCol w:w="6767"/>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17"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84-2015-AIA</w:t>
            </w:r>
          </w:p>
        </w:tc>
        <w:tc>
          <w:tcPr>
            <w:tcW w:w="469" w:type="pct"/>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421"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Encuestas post-servicios.</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Laboratorios de Apoyo a Departamentos, Institutos y Centros de Investigación.</w:t>
            </w:r>
          </w:p>
        </w:tc>
      </w:tr>
      <w:tr w:rsidR="004435E0" w:rsidRPr="004435E0" w:rsidTr="004435E0">
        <w:trPr>
          <w:trHeight w:val="855"/>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 Se recomienda que se pueda obtener el dato del nº de encuestas enviadas por cada tipo, tanto a nivel global como segmentado por unidades de gestión.</w:t>
            </w:r>
          </w:p>
        </w:tc>
      </w:tr>
      <w:tr w:rsidR="004435E0" w:rsidRPr="004435E0" w:rsidTr="004435E0">
        <w:trPr>
          <w:trHeight w:val="3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Se acepta y realizan los cambios necesarios para obtener la información requerida.</w:t>
            </w:r>
          </w:p>
        </w:tc>
      </w:tr>
      <w:tr w:rsidR="004435E0" w:rsidRPr="004435E0" w:rsidTr="004435E0">
        <w:trPr>
          <w:trHeight w:val="3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0B1C90" w:rsidRDefault="004435E0" w:rsidP="005173F5">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5173F5">
              <w:rPr>
                <w:rFonts w:ascii="Calibri" w:eastAsia="Times New Roman" w:hAnsi="Calibri" w:cs="Times New Roman"/>
                <w:color w:val="000000"/>
                <w:lang w:eastAsia="es-ES"/>
              </w:rPr>
              <w:t>La unidad ya dispone de los datos de las encuestas segmentados, tanto por tipo de encuesta como por unidades de gestión.</w:t>
            </w:r>
            <w:r w:rsidR="000B1C90">
              <w:rPr>
                <w:rFonts w:ascii="Calibri" w:eastAsia="Times New Roman" w:hAnsi="Calibri" w:cs="Times New Roman"/>
                <w:color w:val="000000"/>
                <w:lang w:eastAsia="es-ES"/>
              </w:rPr>
              <w:t xml:space="preserve"> </w:t>
            </w:r>
          </w:p>
          <w:p w:rsidR="000B1C90" w:rsidRDefault="000B1C90" w:rsidP="005173F5">
            <w:pPr>
              <w:spacing w:line="240" w:lineRule="auto"/>
              <w:rPr>
                <w:rFonts w:ascii="Calibri" w:eastAsia="Times New Roman" w:hAnsi="Calibri" w:cs="Times New Roman"/>
                <w:color w:val="000000"/>
                <w:lang w:eastAsia="es-ES"/>
              </w:rPr>
            </w:pPr>
          </w:p>
          <w:p w:rsidR="000B1C90" w:rsidRDefault="000B1C90" w:rsidP="005173F5">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lastRenderedPageBreak/>
              <w:t>Datos recogidos en la herramienta PETRUS para el año 2015</w:t>
            </w:r>
            <w:r w:rsidR="001D73B2">
              <w:rPr>
                <w:rFonts w:ascii="Calibri" w:eastAsia="Times New Roman" w:hAnsi="Calibri" w:cs="Times New Roman"/>
                <w:color w:val="000000"/>
                <w:lang w:eastAsia="es-ES"/>
              </w:rPr>
              <w:t xml:space="preserve"> en el laboratorio de Biología Experimental</w:t>
            </w:r>
            <w:r>
              <w:rPr>
                <w:rFonts w:ascii="Calibri" w:eastAsia="Times New Roman" w:hAnsi="Calibri" w:cs="Times New Roman"/>
                <w:color w:val="000000"/>
                <w:lang w:eastAsia="es-ES"/>
              </w:rPr>
              <w:t xml:space="preserve">: </w:t>
            </w:r>
          </w:p>
          <w:p w:rsidR="000B1C90" w:rsidRDefault="000B1C90" w:rsidP="005173F5">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Resolución práctica de consulta: </w:t>
            </w:r>
            <w:r w:rsidR="001D73B2">
              <w:rPr>
                <w:rFonts w:ascii="Calibri" w:eastAsia="Times New Roman" w:hAnsi="Calibri" w:cs="Times New Roman"/>
                <w:color w:val="000000"/>
                <w:lang w:eastAsia="es-ES"/>
              </w:rPr>
              <w:t>0</w:t>
            </w:r>
            <w:r>
              <w:rPr>
                <w:rFonts w:ascii="Calibri" w:eastAsia="Times New Roman" w:hAnsi="Calibri" w:cs="Times New Roman"/>
                <w:color w:val="000000"/>
                <w:lang w:eastAsia="es-ES"/>
              </w:rPr>
              <w:t xml:space="preserve"> encuestas</w:t>
            </w:r>
          </w:p>
          <w:p w:rsidR="000B1C90" w:rsidRDefault="000B1C90" w:rsidP="000B1C9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Apoyo a la docencia: </w:t>
            </w:r>
            <w:r w:rsidR="001D73B2">
              <w:rPr>
                <w:rFonts w:ascii="Calibri" w:eastAsia="Times New Roman" w:hAnsi="Calibri" w:cs="Times New Roman"/>
                <w:color w:val="000000"/>
                <w:lang w:eastAsia="es-ES"/>
              </w:rPr>
              <w:t>17</w:t>
            </w:r>
            <w:r>
              <w:rPr>
                <w:rFonts w:ascii="Calibri" w:eastAsia="Times New Roman" w:hAnsi="Calibri" w:cs="Times New Roman"/>
                <w:color w:val="000000"/>
                <w:lang w:eastAsia="es-ES"/>
              </w:rPr>
              <w:t xml:space="preserve"> encuestas</w:t>
            </w:r>
          </w:p>
          <w:p w:rsidR="000B1C90" w:rsidRPr="004435E0" w:rsidRDefault="000B1C90" w:rsidP="001D73B2">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Apoyo a la investigación: </w:t>
            </w:r>
            <w:r w:rsidR="001D73B2">
              <w:rPr>
                <w:rFonts w:ascii="Calibri" w:eastAsia="Times New Roman" w:hAnsi="Calibri" w:cs="Times New Roman"/>
                <w:color w:val="000000"/>
                <w:lang w:eastAsia="es-ES"/>
              </w:rPr>
              <w:t>59</w:t>
            </w:r>
            <w:r>
              <w:rPr>
                <w:rFonts w:ascii="Calibri" w:eastAsia="Times New Roman" w:hAnsi="Calibri" w:cs="Times New Roman"/>
                <w:color w:val="000000"/>
                <w:lang w:eastAsia="es-ES"/>
              </w:rPr>
              <w:t xml:space="preserve"> encuestas</w:t>
            </w:r>
          </w:p>
        </w:tc>
      </w:tr>
      <w:tr w:rsidR="004435E0" w:rsidRPr="004435E0" w:rsidTr="004435E0">
        <w:trPr>
          <w:trHeight w:val="315"/>
        </w:trPr>
        <w:tc>
          <w:tcPr>
            <w:tcW w:w="1579"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lastRenderedPageBreak/>
              <w:t>Verificación, si procede:</w:t>
            </w:r>
          </w:p>
        </w:tc>
        <w:tc>
          <w:tcPr>
            <w:tcW w:w="3421" w:type="pct"/>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5173F5">
              <w:rPr>
                <w:rFonts w:ascii="Calibri" w:eastAsia="Times New Roman" w:hAnsi="Calibri" w:cs="Times New Roman"/>
                <w:color w:val="000000"/>
                <w:lang w:eastAsia="es-ES"/>
              </w:rPr>
              <w:t>Cumplido</w:t>
            </w:r>
          </w:p>
        </w:tc>
      </w:tr>
    </w:tbl>
    <w:p w:rsidR="004435E0" w:rsidRDefault="004435E0" w:rsidP="00E954BB">
      <w:pPr>
        <w:rPr>
          <w:rFonts w:ascii="Calibri" w:eastAsia="Times New Roman" w:hAnsi="Calibri" w:cs="Times New Roman"/>
          <w:b/>
          <w:bCs/>
          <w:color w:val="000000"/>
          <w:lang w:eastAsia="es-ES"/>
        </w:rPr>
      </w:pPr>
    </w:p>
    <w:tbl>
      <w:tblPr>
        <w:tblW w:w="5000" w:type="pct"/>
        <w:tblLayout w:type="fixed"/>
        <w:tblCellMar>
          <w:left w:w="70" w:type="dxa"/>
          <w:right w:w="70" w:type="dxa"/>
        </w:tblCellMar>
        <w:tblLook w:val="04A0" w:firstRow="1" w:lastRow="0" w:firstColumn="1" w:lastColumn="0" w:noHBand="0" w:noVBand="1"/>
      </w:tblPr>
      <w:tblGrid>
        <w:gridCol w:w="779"/>
        <w:gridCol w:w="136"/>
        <w:gridCol w:w="1421"/>
        <w:gridCol w:w="786"/>
        <w:gridCol w:w="350"/>
        <w:gridCol w:w="6421"/>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87"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85-2015-AIA</w:t>
            </w:r>
          </w:p>
        </w:tc>
        <w:tc>
          <w:tcPr>
            <w:tcW w:w="574"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245"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Encuestas post-servicios.</w:t>
            </w:r>
          </w:p>
        </w:tc>
      </w:tr>
      <w:tr w:rsidR="004435E0" w:rsidRPr="004435E0" w:rsidTr="000B1C90">
        <w:trPr>
          <w:trHeight w:val="300"/>
        </w:trPr>
        <w:tc>
          <w:tcPr>
            <w:tcW w:w="463"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537"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0B1C90">
        <w:trPr>
          <w:trHeight w:val="300"/>
        </w:trPr>
        <w:tc>
          <w:tcPr>
            <w:tcW w:w="463"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537"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Laboratorios de Apoyo a Departamentos, Institutos y Centros de Investigación.</w:t>
            </w:r>
          </w:p>
        </w:tc>
      </w:tr>
      <w:tr w:rsidR="004435E0" w:rsidRPr="004435E0" w:rsidTr="000B1C90">
        <w:trPr>
          <w:trHeight w:val="660"/>
        </w:trPr>
        <w:tc>
          <w:tcPr>
            <w:tcW w:w="463"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537"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Se recomienda que se revise el cálculo del valor medio en las tres encuestas </w:t>
            </w:r>
            <w:proofErr w:type="spellStart"/>
            <w:r w:rsidRPr="004435E0">
              <w:rPr>
                <w:rFonts w:ascii="Calibri" w:eastAsia="Times New Roman" w:hAnsi="Calibri" w:cs="Times New Roman"/>
                <w:color w:val="000000"/>
                <w:lang w:eastAsia="es-ES"/>
              </w:rPr>
              <w:t>postservicio</w:t>
            </w:r>
            <w:proofErr w:type="spellEnd"/>
            <w:r w:rsidRPr="004435E0">
              <w:rPr>
                <w:rFonts w:ascii="Calibri" w:eastAsia="Times New Roman" w:hAnsi="Calibri" w:cs="Times New Roman"/>
                <w:color w:val="000000"/>
                <w:lang w:eastAsia="es-ES"/>
              </w:rPr>
              <w:t>.</w:t>
            </w:r>
          </w:p>
        </w:tc>
      </w:tr>
      <w:tr w:rsidR="004435E0" w:rsidRPr="004435E0" w:rsidTr="004435E0">
        <w:trPr>
          <w:trHeight w:val="300"/>
        </w:trPr>
        <w:tc>
          <w:tcPr>
            <w:tcW w:w="1578"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2"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Tras la revisión de este cálculo se precisa que está siendo mal medido y se procede a su modificación.</w:t>
            </w:r>
          </w:p>
        </w:tc>
      </w:tr>
      <w:tr w:rsidR="004435E0" w:rsidRPr="004435E0" w:rsidTr="004435E0">
        <w:trPr>
          <w:trHeight w:val="300"/>
        </w:trPr>
        <w:tc>
          <w:tcPr>
            <w:tcW w:w="1578"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2" w:type="pct"/>
            <w:gridSpan w:val="2"/>
            <w:tcBorders>
              <w:top w:val="single" w:sz="4" w:space="0" w:color="808080"/>
              <w:left w:val="nil"/>
              <w:bottom w:val="single" w:sz="4" w:space="0" w:color="808080"/>
              <w:right w:val="double" w:sz="6" w:space="0" w:color="808080"/>
            </w:tcBorders>
            <w:shd w:val="clear" w:color="auto" w:fill="auto"/>
            <w:vAlign w:val="center"/>
            <w:hideMark/>
          </w:tcPr>
          <w:p w:rsidR="00C9671F"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0B1C90">
              <w:rPr>
                <w:rFonts w:ascii="Calibri" w:eastAsia="Times New Roman" w:hAnsi="Calibri" w:cs="Times New Roman"/>
                <w:color w:val="000000"/>
                <w:lang w:eastAsia="es-ES"/>
              </w:rPr>
              <w:t>Se verifica que el cálculo de la media se efectúa correctamente.</w:t>
            </w:r>
          </w:p>
          <w:p w:rsidR="00C9671F" w:rsidRDefault="00C9671F" w:rsidP="00C9671F">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Ejemplo de datos recogidos en la herramienta PETRUS para el año 2015: </w:t>
            </w:r>
          </w:p>
          <w:p w:rsidR="00C9671F" w:rsidRDefault="00C9671F" w:rsidP="004435E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Encuestas apoyo a la investigación: </w:t>
            </w:r>
          </w:p>
          <w:p w:rsidR="00C9671F" w:rsidRPr="00C9671F" w:rsidRDefault="00C9671F" w:rsidP="004435E0">
            <w:pPr>
              <w:spacing w:line="240" w:lineRule="auto"/>
              <w:rPr>
                <w:rFonts w:ascii="Calibri" w:eastAsia="Times New Roman" w:hAnsi="Calibri" w:cs="Times New Roman"/>
                <w:color w:val="000000"/>
                <w:sz w:val="20"/>
                <w:szCs w:val="20"/>
                <w:lang w:eastAsia="es-ES"/>
              </w:rPr>
            </w:pPr>
            <w:r w:rsidRPr="00C9671F">
              <w:rPr>
                <w:rFonts w:ascii="Calibri" w:eastAsia="Times New Roman" w:hAnsi="Calibri" w:cs="Times New Roman"/>
                <w:color w:val="000000"/>
                <w:sz w:val="20"/>
                <w:szCs w:val="20"/>
                <w:lang w:eastAsia="es-ES"/>
              </w:rPr>
              <w:t xml:space="preserve">Valoradas </w:t>
            </w:r>
            <w:r>
              <w:rPr>
                <w:rFonts w:ascii="Calibri" w:eastAsia="Times New Roman" w:hAnsi="Calibri" w:cs="Times New Roman"/>
                <w:color w:val="000000"/>
                <w:sz w:val="20"/>
                <w:szCs w:val="20"/>
                <w:lang w:eastAsia="es-ES"/>
              </w:rPr>
              <w:t xml:space="preserve">con </w:t>
            </w:r>
            <w:r w:rsidRPr="00C9671F">
              <w:rPr>
                <w:rFonts w:ascii="Calibri" w:eastAsia="Times New Roman" w:hAnsi="Calibri" w:cs="Times New Roman"/>
                <w:color w:val="000000"/>
                <w:sz w:val="20"/>
                <w:szCs w:val="20"/>
                <w:lang w:eastAsia="es-ES"/>
              </w:rPr>
              <w:t>5: 267</w:t>
            </w:r>
          </w:p>
          <w:p w:rsidR="00C9671F" w:rsidRPr="00C9671F" w:rsidRDefault="00C9671F" w:rsidP="004435E0">
            <w:pPr>
              <w:spacing w:line="240" w:lineRule="auto"/>
              <w:rPr>
                <w:rFonts w:ascii="Calibri" w:eastAsia="Times New Roman" w:hAnsi="Calibri" w:cs="Times New Roman"/>
                <w:color w:val="000000"/>
                <w:sz w:val="20"/>
                <w:szCs w:val="20"/>
                <w:lang w:eastAsia="es-ES"/>
              </w:rPr>
            </w:pPr>
            <w:r w:rsidRPr="00C9671F">
              <w:rPr>
                <w:rFonts w:ascii="Calibri" w:eastAsia="Times New Roman" w:hAnsi="Calibri" w:cs="Times New Roman"/>
                <w:color w:val="000000"/>
                <w:sz w:val="20"/>
                <w:szCs w:val="20"/>
                <w:lang w:eastAsia="es-ES"/>
              </w:rPr>
              <w:t xml:space="preserve">Valoradas </w:t>
            </w:r>
            <w:r>
              <w:rPr>
                <w:rFonts w:ascii="Calibri" w:eastAsia="Times New Roman" w:hAnsi="Calibri" w:cs="Times New Roman"/>
                <w:color w:val="000000"/>
                <w:sz w:val="20"/>
                <w:szCs w:val="20"/>
                <w:lang w:eastAsia="es-ES"/>
              </w:rPr>
              <w:t xml:space="preserve">con </w:t>
            </w:r>
            <w:r w:rsidRPr="00C9671F">
              <w:rPr>
                <w:rFonts w:ascii="Calibri" w:eastAsia="Times New Roman" w:hAnsi="Calibri" w:cs="Times New Roman"/>
                <w:color w:val="000000"/>
                <w:sz w:val="20"/>
                <w:szCs w:val="20"/>
                <w:lang w:eastAsia="es-ES"/>
              </w:rPr>
              <w:t>4: 6</w:t>
            </w:r>
          </w:p>
          <w:p w:rsidR="00C9671F" w:rsidRPr="00C9671F" w:rsidRDefault="00C9671F" w:rsidP="004435E0">
            <w:pPr>
              <w:spacing w:line="240" w:lineRule="auto"/>
              <w:rPr>
                <w:rFonts w:ascii="Calibri" w:eastAsia="Times New Roman" w:hAnsi="Calibri" w:cs="Times New Roman"/>
                <w:color w:val="000000"/>
                <w:sz w:val="20"/>
                <w:szCs w:val="20"/>
                <w:lang w:eastAsia="es-ES"/>
              </w:rPr>
            </w:pPr>
            <w:r w:rsidRPr="00C9671F">
              <w:rPr>
                <w:rFonts w:ascii="Calibri" w:eastAsia="Times New Roman" w:hAnsi="Calibri" w:cs="Times New Roman"/>
                <w:color w:val="000000"/>
                <w:sz w:val="20"/>
                <w:szCs w:val="20"/>
                <w:lang w:eastAsia="es-ES"/>
              </w:rPr>
              <w:t xml:space="preserve">Valoradas </w:t>
            </w:r>
            <w:r>
              <w:rPr>
                <w:rFonts w:ascii="Calibri" w:eastAsia="Times New Roman" w:hAnsi="Calibri" w:cs="Times New Roman"/>
                <w:color w:val="000000"/>
                <w:sz w:val="20"/>
                <w:szCs w:val="20"/>
                <w:lang w:eastAsia="es-ES"/>
              </w:rPr>
              <w:t xml:space="preserve">con </w:t>
            </w:r>
            <w:r w:rsidRPr="00C9671F">
              <w:rPr>
                <w:rFonts w:ascii="Calibri" w:eastAsia="Times New Roman" w:hAnsi="Calibri" w:cs="Times New Roman"/>
                <w:color w:val="000000"/>
                <w:sz w:val="20"/>
                <w:szCs w:val="20"/>
                <w:lang w:eastAsia="es-ES"/>
              </w:rPr>
              <w:t>3: 1</w:t>
            </w:r>
          </w:p>
          <w:p w:rsidR="004435E0" w:rsidRPr="004435E0" w:rsidRDefault="00C9671F" w:rsidP="004435E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Total</w:t>
            </w:r>
            <w:r w:rsidR="001D73B2">
              <w:rPr>
                <w:rFonts w:ascii="Calibri" w:eastAsia="Times New Roman" w:hAnsi="Calibri" w:cs="Times New Roman"/>
                <w:color w:val="000000"/>
                <w:lang w:eastAsia="es-ES"/>
              </w:rPr>
              <w:t>:</w:t>
            </w:r>
            <w:r>
              <w:rPr>
                <w:rFonts w:ascii="Calibri" w:eastAsia="Times New Roman" w:hAnsi="Calibri" w:cs="Times New Roman"/>
                <w:color w:val="000000"/>
                <w:lang w:eastAsia="es-ES"/>
              </w:rPr>
              <w:t xml:space="preserve"> 274; Media: 4,97</w:t>
            </w:r>
          </w:p>
        </w:tc>
      </w:tr>
      <w:tr w:rsidR="004435E0" w:rsidRPr="004435E0" w:rsidTr="004435E0">
        <w:trPr>
          <w:trHeight w:val="315"/>
        </w:trPr>
        <w:tc>
          <w:tcPr>
            <w:tcW w:w="1578"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2"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0B1C90">
              <w:rPr>
                <w:rFonts w:ascii="Calibri" w:eastAsia="Times New Roman" w:hAnsi="Calibri" w:cs="Times New Roman"/>
                <w:color w:val="000000"/>
                <w:lang w:eastAsia="es-ES"/>
              </w:rPr>
              <w:t>Cumplido</w:t>
            </w:r>
          </w:p>
        </w:tc>
      </w:tr>
    </w:tbl>
    <w:p w:rsidR="004435E0" w:rsidRDefault="004435E0" w:rsidP="00E954BB">
      <w:pPr>
        <w:rPr>
          <w:rFonts w:ascii="Calibri" w:eastAsia="Times New Roman" w:hAnsi="Calibri" w:cs="Times New Roman"/>
          <w:b/>
          <w:bCs/>
          <w:color w:val="000000"/>
          <w:lang w:eastAsia="es-ES"/>
        </w:rPr>
      </w:pPr>
    </w:p>
    <w:tbl>
      <w:tblPr>
        <w:tblW w:w="5000" w:type="pct"/>
        <w:tblLayout w:type="fixed"/>
        <w:tblCellMar>
          <w:left w:w="70" w:type="dxa"/>
          <w:right w:w="70" w:type="dxa"/>
        </w:tblCellMar>
        <w:tblLook w:val="04A0" w:firstRow="1" w:lastRow="0" w:firstColumn="1" w:lastColumn="0" w:noHBand="0" w:noVBand="1"/>
      </w:tblPr>
      <w:tblGrid>
        <w:gridCol w:w="779"/>
        <w:gridCol w:w="370"/>
        <w:gridCol w:w="1189"/>
        <w:gridCol w:w="786"/>
        <w:gridCol w:w="491"/>
        <w:gridCol w:w="6278"/>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88"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86-2015-AIA</w:t>
            </w:r>
          </w:p>
        </w:tc>
        <w:tc>
          <w:tcPr>
            <w:tcW w:w="645"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173"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Encuestas post-servicios.</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Laboratorios de Apoyo a Departamentos, Institutos y Centros de Investigación.</w:t>
            </w:r>
          </w:p>
        </w:tc>
      </w:tr>
      <w:tr w:rsidR="004435E0" w:rsidRPr="004435E0" w:rsidTr="004435E0">
        <w:trPr>
          <w:trHeight w:val="78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 recomienda que se dé respuesta a las sugerencias que tienen entrada por el buzón de la página web de la unidad estableciendo un plazo de respuesta.</w:t>
            </w:r>
          </w:p>
        </w:tc>
      </w:tr>
      <w:tr w:rsidR="004435E0" w:rsidRPr="004435E0" w:rsidTr="004435E0">
        <w:trPr>
          <w:trHeight w:val="705"/>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Se estudia la posibilidad de establecer un plazo para dar respuesta a las sugerencias, acordando hacer un estudio del tiempo que se viene empleando actualmente en dicha tarea.</w:t>
            </w:r>
          </w:p>
        </w:tc>
      </w:tr>
      <w:tr w:rsidR="004435E0" w:rsidRPr="004435E0" w:rsidTr="004435E0">
        <w:trPr>
          <w:trHeight w:val="3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Default="004435E0" w:rsidP="00C9671F">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C9671F">
              <w:rPr>
                <w:rFonts w:ascii="Calibri" w:eastAsia="Times New Roman" w:hAnsi="Calibri" w:cs="Times New Roman"/>
                <w:color w:val="000000"/>
                <w:lang w:eastAsia="es-ES"/>
              </w:rPr>
              <w:t>Según la responsable de la unidad el número de sugerencias que entra por el buzón de la página web es insignificante, por lo que se está estudiando la necesidad o no de establecer un plazo.</w:t>
            </w:r>
          </w:p>
          <w:p w:rsidR="00C9671F" w:rsidRPr="004435E0" w:rsidRDefault="00C9671F" w:rsidP="00C9671F">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Se verifica sugerencia con fecha de entrada en buzón 21/09/2015 y respuesta en la misma fecha.</w:t>
            </w:r>
          </w:p>
        </w:tc>
      </w:tr>
      <w:tr w:rsidR="004435E0" w:rsidRPr="004435E0" w:rsidTr="004435E0">
        <w:trPr>
          <w:trHeight w:val="315"/>
        </w:trPr>
        <w:tc>
          <w:tcPr>
            <w:tcW w:w="1579"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1"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p>
        </w:tc>
      </w:tr>
    </w:tbl>
    <w:p w:rsidR="004435E0" w:rsidRDefault="004435E0" w:rsidP="00E954BB">
      <w:pPr>
        <w:rPr>
          <w:rFonts w:ascii="Calibri" w:eastAsia="Times New Roman" w:hAnsi="Calibri" w:cs="Times New Roman"/>
          <w:b/>
          <w:bCs/>
          <w:color w:val="000000"/>
          <w:lang w:eastAsia="es-ES"/>
        </w:rPr>
      </w:pPr>
    </w:p>
    <w:p w:rsidR="004435E0" w:rsidRDefault="004435E0" w:rsidP="00E954BB">
      <w:pPr>
        <w:rPr>
          <w:rFonts w:ascii="Calibri" w:eastAsia="Times New Roman" w:hAnsi="Calibri" w:cs="Times New Roman"/>
          <w:b/>
          <w:bCs/>
          <w:color w:val="000000"/>
          <w:lang w:eastAsia="es-ES"/>
        </w:rPr>
      </w:pPr>
    </w:p>
    <w:p w:rsidR="00B24E6F" w:rsidRPr="002413BD" w:rsidRDefault="002413BD" w:rsidP="00E954BB">
      <w:pP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6.3 </w:t>
      </w:r>
      <w:r w:rsidRPr="002413BD">
        <w:rPr>
          <w:rFonts w:ascii="Calibri" w:eastAsia="Times New Roman" w:hAnsi="Calibri" w:cs="Times New Roman"/>
          <w:b/>
          <w:bCs/>
          <w:color w:val="000000"/>
          <w:lang w:eastAsia="es-ES"/>
        </w:rPr>
        <w:t xml:space="preserve">Seguimiento de las propuestas de mejora de los procesos del ciclo 2014. </w:t>
      </w:r>
    </w:p>
    <w:p w:rsidR="003B7D28" w:rsidRDefault="003B7D28" w:rsidP="00E954BB">
      <w:pPr>
        <w:rPr>
          <w:rFonts w:ascii="Calibri" w:eastAsia="Times New Roman" w:hAnsi="Calibri" w:cs="Times New Roman"/>
          <w:b/>
          <w:bCs/>
          <w:color w:val="000000"/>
          <w:sz w:val="24"/>
          <w:szCs w:val="24"/>
          <w:lang w:eastAsia="es-ES"/>
        </w:rPr>
      </w:pPr>
    </w:p>
    <w:tbl>
      <w:tblPr>
        <w:tblW w:w="5000" w:type="pct"/>
        <w:tblLayout w:type="fixed"/>
        <w:tblCellMar>
          <w:left w:w="70" w:type="dxa"/>
          <w:right w:w="70" w:type="dxa"/>
        </w:tblCellMar>
        <w:tblLook w:val="04A0" w:firstRow="1" w:lastRow="0" w:firstColumn="1" w:lastColumn="0" w:noHBand="0" w:noVBand="1"/>
      </w:tblPr>
      <w:tblGrid>
        <w:gridCol w:w="779"/>
        <w:gridCol w:w="370"/>
        <w:gridCol w:w="1049"/>
        <w:gridCol w:w="928"/>
        <w:gridCol w:w="346"/>
        <w:gridCol w:w="6421"/>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17"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90-2015-AIA</w:t>
            </w:r>
          </w:p>
        </w:tc>
        <w:tc>
          <w:tcPr>
            <w:tcW w:w="644"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245"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Seguimiento mejoras Procesos 2014</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 de Apoyo a Departamentos, institutos y Centros de Investigación (UTLA).</w:t>
            </w:r>
          </w:p>
        </w:tc>
      </w:tr>
      <w:tr w:rsidR="004435E0" w:rsidRPr="004435E0" w:rsidTr="004435E0">
        <w:trPr>
          <w:trHeight w:val="735"/>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lastRenderedPageBreak/>
              <w:t>Descripción:</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 Se recomienda para el próximo ciclo de gestión analizar el impacto que la modificación de la página web ha podido tener en los usuarios, sobre todo en lo referente a su participación.</w:t>
            </w:r>
          </w:p>
        </w:tc>
      </w:tr>
      <w:tr w:rsidR="004435E0" w:rsidRPr="004435E0" w:rsidTr="004435E0">
        <w:trPr>
          <w:trHeight w:val="690"/>
        </w:trPr>
        <w:tc>
          <w:tcPr>
            <w:tcW w:w="1580"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0"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1B36DE">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 xml:space="preserve">Aunque sin datos cualitativos, se han obtenido, verbalmente, por parte de nuestros clientes/usuarios numerosas felicitaciones por dicha modificación. </w:t>
            </w:r>
          </w:p>
        </w:tc>
      </w:tr>
      <w:tr w:rsidR="004435E0" w:rsidRPr="004435E0" w:rsidTr="004435E0">
        <w:trPr>
          <w:trHeight w:val="300"/>
        </w:trPr>
        <w:tc>
          <w:tcPr>
            <w:tcW w:w="1580"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0"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r w:rsidR="001D73B2">
              <w:rPr>
                <w:rFonts w:ascii="Calibri" w:eastAsia="Times New Roman" w:hAnsi="Calibri" w:cs="Times New Roman"/>
                <w:color w:val="000000"/>
                <w:lang w:eastAsia="es-ES"/>
              </w:rPr>
              <w:t>Se están analizando los resultados obtenidos en el sistema de información de la UTLA durante el año 2015</w:t>
            </w:r>
          </w:p>
        </w:tc>
      </w:tr>
      <w:tr w:rsidR="004435E0" w:rsidRPr="004435E0" w:rsidTr="004435E0">
        <w:trPr>
          <w:trHeight w:val="315"/>
        </w:trPr>
        <w:tc>
          <w:tcPr>
            <w:tcW w:w="1580"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0"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p>
        </w:tc>
      </w:tr>
    </w:tbl>
    <w:p w:rsidR="004435E0" w:rsidRDefault="004435E0" w:rsidP="00E954BB">
      <w:pPr>
        <w:rPr>
          <w:rFonts w:ascii="Calibri" w:eastAsia="Times New Roman" w:hAnsi="Calibri" w:cs="Times New Roman"/>
          <w:b/>
          <w:bCs/>
          <w:color w:val="000000"/>
          <w:sz w:val="24"/>
          <w:szCs w:val="24"/>
          <w:lang w:eastAsia="es-ES"/>
        </w:rPr>
      </w:pPr>
    </w:p>
    <w:p w:rsidR="003B7D28" w:rsidRDefault="003B7D28" w:rsidP="00E954BB">
      <w:pPr>
        <w:rPr>
          <w:rFonts w:ascii="Calibri" w:eastAsia="Times New Roman" w:hAnsi="Calibri" w:cs="Times New Roman"/>
          <w:b/>
          <w:bCs/>
          <w:color w:val="000000"/>
          <w:sz w:val="24"/>
          <w:szCs w:val="24"/>
          <w:lang w:eastAsia="es-ES"/>
        </w:rPr>
      </w:pPr>
    </w:p>
    <w:tbl>
      <w:tblPr>
        <w:tblW w:w="5000" w:type="pct"/>
        <w:tblLayout w:type="fixed"/>
        <w:tblCellMar>
          <w:left w:w="70" w:type="dxa"/>
          <w:right w:w="70" w:type="dxa"/>
        </w:tblCellMar>
        <w:tblLook w:val="04A0" w:firstRow="1" w:lastRow="0" w:firstColumn="1" w:lastColumn="0" w:noHBand="0" w:noVBand="1"/>
      </w:tblPr>
      <w:tblGrid>
        <w:gridCol w:w="779"/>
        <w:gridCol w:w="370"/>
        <w:gridCol w:w="1189"/>
        <w:gridCol w:w="786"/>
        <w:gridCol w:w="633"/>
        <w:gridCol w:w="6136"/>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88"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91-2015-AIA</w:t>
            </w:r>
          </w:p>
        </w:tc>
        <w:tc>
          <w:tcPr>
            <w:tcW w:w="717"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102"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Seguimiento mejoras implantadas o a realizar 2014</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 de Apoyo a Departamentos, institutos y Centros de Investigación (UTLA).</w:t>
            </w:r>
          </w:p>
        </w:tc>
      </w:tr>
      <w:tr w:rsidR="004435E0" w:rsidRPr="004435E0" w:rsidTr="004435E0">
        <w:trPr>
          <w:trHeight w:val="585"/>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 recomienda estudiar el impacto que la implantación de las  mejoras ha tenido en otros ámbitos como la satisfacción del cliente.</w:t>
            </w:r>
          </w:p>
        </w:tc>
      </w:tr>
      <w:tr w:rsidR="004435E0" w:rsidRPr="004435E0" w:rsidTr="004435E0">
        <w:trPr>
          <w:trHeight w:val="825"/>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Nuestros clientes se muestran satisfechos con dichos cambios, hecho que nos hacen notar con sus comentarios verbales y/o vía telefónica</w:t>
            </w:r>
          </w:p>
        </w:tc>
      </w:tr>
      <w:tr w:rsidR="004435E0" w:rsidRPr="004435E0" w:rsidTr="004435E0">
        <w:trPr>
          <w:trHeight w:val="3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1D73B2" w:rsidP="004435E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Se están analizando los resultados obtenidos en el sistema de información de la UTLA durante el año 2015</w:t>
            </w:r>
          </w:p>
        </w:tc>
      </w:tr>
      <w:tr w:rsidR="004435E0" w:rsidRPr="004435E0" w:rsidTr="004435E0">
        <w:trPr>
          <w:trHeight w:val="315"/>
        </w:trPr>
        <w:tc>
          <w:tcPr>
            <w:tcW w:w="1579"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1"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p>
        </w:tc>
      </w:tr>
    </w:tbl>
    <w:p w:rsidR="003B7D28" w:rsidRDefault="003B7D28" w:rsidP="00E954BB">
      <w:pPr>
        <w:rPr>
          <w:rFonts w:ascii="Calibri" w:eastAsia="Times New Roman" w:hAnsi="Calibri" w:cs="Times New Roman"/>
          <w:b/>
          <w:bCs/>
          <w:color w:val="000000"/>
          <w:sz w:val="24"/>
          <w:szCs w:val="24"/>
          <w:lang w:eastAsia="es-ES"/>
        </w:rPr>
      </w:pPr>
    </w:p>
    <w:p w:rsidR="00BC4A3A" w:rsidRPr="002413BD" w:rsidRDefault="00BC4A3A" w:rsidP="00BC4A3A">
      <w:pPr>
        <w:rPr>
          <w:b/>
        </w:rPr>
      </w:pPr>
      <w:r>
        <w:rPr>
          <w:b/>
        </w:rPr>
        <w:t xml:space="preserve">6.4 </w:t>
      </w:r>
      <w:r w:rsidRPr="002413BD">
        <w:rPr>
          <w:b/>
        </w:rPr>
        <w:t>Seguimiento de actuaciones del Informe</w:t>
      </w:r>
      <w:r>
        <w:rPr>
          <w:b/>
        </w:rPr>
        <w:t xml:space="preserve"> de Auditoría Interna ciclo 2013 y Propuesta de mejora 2013.</w:t>
      </w:r>
    </w:p>
    <w:p w:rsidR="003B7D28" w:rsidRDefault="003B7D28" w:rsidP="00E954BB">
      <w:pPr>
        <w:rPr>
          <w:rFonts w:ascii="Calibri" w:eastAsia="Times New Roman" w:hAnsi="Calibri" w:cs="Times New Roman"/>
          <w:b/>
          <w:bCs/>
          <w:color w:val="000000"/>
          <w:sz w:val="24"/>
          <w:szCs w:val="24"/>
          <w:lang w:eastAsia="es-ES"/>
        </w:rPr>
      </w:pPr>
    </w:p>
    <w:tbl>
      <w:tblPr>
        <w:tblW w:w="5000" w:type="pct"/>
        <w:tblLayout w:type="fixed"/>
        <w:tblCellMar>
          <w:left w:w="70" w:type="dxa"/>
          <w:right w:w="70" w:type="dxa"/>
        </w:tblCellMar>
        <w:tblLook w:val="04A0" w:firstRow="1" w:lastRow="0" w:firstColumn="1" w:lastColumn="0" w:noHBand="0" w:noVBand="1"/>
      </w:tblPr>
      <w:tblGrid>
        <w:gridCol w:w="779"/>
        <w:gridCol w:w="370"/>
        <w:gridCol w:w="1332"/>
        <w:gridCol w:w="643"/>
        <w:gridCol w:w="491"/>
        <w:gridCol w:w="6278"/>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860"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87-2015-AIA</w:t>
            </w:r>
          </w:p>
        </w:tc>
        <w:tc>
          <w:tcPr>
            <w:tcW w:w="573"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173" w:type="pct"/>
            <w:tcBorders>
              <w:top w:val="double" w:sz="6"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Seguimiento actuaciones de Auditoría Interna 2013</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375"/>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 de Apoyo a Departamentos, institutos y Centros de Investigación (UTLA).</w:t>
            </w:r>
          </w:p>
        </w:tc>
      </w:tr>
      <w:tr w:rsidR="004435E0" w:rsidRPr="004435E0" w:rsidTr="004435E0">
        <w:trPr>
          <w:trHeight w:val="72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 recomienda establecer los mecanismos necesarios para dejar constancia de que todas las incidencias tengan fecha de finalización.</w:t>
            </w:r>
          </w:p>
        </w:tc>
      </w:tr>
      <w:tr w:rsidR="004435E0" w:rsidRPr="004435E0" w:rsidTr="004435E0">
        <w:trPr>
          <w:trHeight w:val="9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No se dispone de medios necesarios para asegurar la finalización de una incidencia en una fecha concreta, ya que las incidencias en muchos casos derivan en una actuación externa a la Unidad.</w:t>
            </w:r>
          </w:p>
        </w:tc>
      </w:tr>
      <w:tr w:rsidR="004435E0" w:rsidRPr="004435E0" w:rsidTr="004435E0">
        <w:trPr>
          <w:trHeight w:val="3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1D73B2" w:rsidP="004435E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No se ha realizado ninguna actuación</w:t>
            </w:r>
          </w:p>
        </w:tc>
      </w:tr>
      <w:tr w:rsidR="004435E0" w:rsidRPr="004435E0" w:rsidTr="004435E0">
        <w:trPr>
          <w:trHeight w:val="315"/>
        </w:trPr>
        <w:tc>
          <w:tcPr>
            <w:tcW w:w="1579"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1"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p>
        </w:tc>
      </w:tr>
    </w:tbl>
    <w:p w:rsidR="004C4266" w:rsidRDefault="004C4266" w:rsidP="00B0405F">
      <w:pPr>
        <w:spacing w:line="240" w:lineRule="auto"/>
      </w:pPr>
    </w:p>
    <w:tbl>
      <w:tblPr>
        <w:tblW w:w="5000" w:type="pct"/>
        <w:tblLayout w:type="fixed"/>
        <w:tblCellMar>
          <w:left w:w="70" w:type="dxa"/>
          <w:right w:w="70" w:type="dxa"/>
        </w:tblCellMar>
        <w:tblLook w:val="04A0" w:firstRow="1" w:lastRow="0" w:firstColumn="1" w:lastColumn="0" w:noHBand="0" w:noVBand="1"/>
      </w:tblPr>
      <w:tblGrid>
        <w:gridCol w:w="779"/>
        <w:gridCol w:w="370"/>
        <w:gridCol w:w="1189"/>
        <w:gridCol w:w="786"/>
        <w:gridCol w:w="348"/>
        <w:gridCol w:w="6421"/>
      </w:tblGrid>
      <w:tr w:rsidR="004435E0" w:rsidRPr="004435E0" w:rsidTr="004435E0">
        <w:trPr>
          <w:trHeight w:val="315"/>
        </w:trPr>
        <w:tc>
          <w:tcPr>
            <w:tcW w:w="39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88" w:type="pct"/>
            <w:gridSpan w:val="2"/>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88-2015-AIA</w:t>
            </w:r>
          </w:p>
        </w:tc>
        <w:tc>
          <w:tcPr>
            <w:tcW w:w="573"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245" w:type="pct"/>
            <w:tcBorders>
              <w:top w:val="double" w:sz="6"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Seguimiento actuaciones de Auditoría Interna 2013</w:t>
            </w:r>
          </w:p>
        </w:tc>
      </w:tr>
      <w:tr w:rsidR="004435E0" w:rsidRPr="004435E0" w:rsidTr="004435E0">
        <w:trPr>
          <w:trHeight w:val="30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PC08. Gestión de la Prestación de Servicios de Apoyo Científico/Técnico</w:t>
            </w:r>
          </w:p>
        </w:tc>
      </w:tr>
      <w:tr w:rsidR="004435E0" w:rsidRPr="004435E0" w:rsidTr="004435E0">
        <w:trPr>
          <w:trHeight w:val="450"/>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 de Apoyo a Departamentos, institutos y Centros de Investigación (UTLA).</w:t>
            </w:r>
          </w:p>
        </w:tc>
      </w:tr>
      <w:tr w:rsidR="004435E0" w:rsidRPr="004435E0" w:rsidTr="004435E0">
        <w:trPr>
          <w:trHeight w:val="795"/>
        </w:trPr>
        <w:tc>
          <w:tcPr>
            <w:tcW w:w="581" w:type="pct"/>
            <w:gridSpan w:val="2"/>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Se recomienda para las tres encuestas, Resolución Práctica de Consulta, Apoyo a la Docencia  y Apoyo a la Investigación, alinear los ítems con los factores de calidad del servicio prestado.</w:t>
            </w:r>
          </w:p>
        </w:tc>
      </w:tr>
      <w:tr w:rsidR="004435E0" w:rsidRPr="004435E0" w:rsidTr="004435E0">
        <w:trPr>
          <w:trHeight w:val="84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lastRenderedPageBreak/>
              <w:t>Actuaciones realizadas:</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lang w:eastAsia="es-ES"/>
              </w:rPr>
            </w:pPr>
            <w:r w:rsidRPr="004435E0">
              <w:rPr>
                <w:rFonts w:ascii="Calibri" w:eastAsia="Times New Roman" w:hAnsi="Calibri" w:cs="Times New Roman"/>
                <w:lang w:eastAsia="es-ES"/>
              </w:rPr>
              <w:t>Se realiza dicha recomendación, estableciéndose como nuevos ítems muy satisfecho, satisfecho, ni satisfecho/ni insatisfecho, insatisfecho y muy insatisfecho</w:t>
            </w:r>
          </w:p>
        </w:tc>
      </w:tr>
      <w:tr w:rsidR="004435E0" w:rsidRPr="004435E0" w:rsidTr="004435E0">
        <w:trPr>
          <w:trHeight w:val="300"/>
        </w:trPr>
        <w:tc>
          <w:tcPr>
            <w:tcW w:w="1579"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21"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CB22B7">
            <w:pPr>
              <w:spacing w:line="240" w:lineRule="auto"/>
              <w:rPr>
                <w:rFonts w:ascii="Calibri" w:eastAsia="Times New Roman" w:hAnsi="Calibri" w:cs="Times New Roman"/>
                <w:color w:val="000000"/>
                <w:lang w:eastAsia="es-ES"/>
              </w:rPr>
            </w:pPr>
            <w:r w:rsidRPr="00121809">
              <w:rPr>
                <w:rFonts w:ascii="Calibri" w:eastAsia="Times New Roman" w:hAnsi="Calibri" w:cs="Times New Roman"/>
                <w:lang w:eastAsia="es-ES"/>
              </w:rPr>
              <w:t> </w:t>
            </w:r>
            <w:r w:rsidR="00121809" w:rsidRPr="00121809">
              <w:rPr>
                <w:rFonts w:ascii="Calibri" w:eastAsia="Times New Roman" w:hAnsi="Calibri" w:cs="Times New Roman"/>
                <w:lang w:eastAsia="es-ES"/>
              </w:rPr>
              <w:t xml:space="preserve">Se verifica que se ha alineado la escala de valoración de los ítems de la encuesta </w:t>
            </w:r>
            <w:proofErr w:type="spellStart"/>
            <w:r w:rsidR="00121809" w:rsidRPr="00121809">
              <w:rPr>
                <w:rFonts w:ascii="Calibri" w:eastAsia="Times New Roman" w:hAnsi="Calibri" w:cs="Times New Roman"/>
                <w:lang w:eastAsia="es-ES"/>
              </w:rPr>
              <w:t>postservicio</w:t>
            </w:r>
            <w:proofErr w:type="spellEnd"/>
            <w:r w:rsidR="00121809" w:rsidRPr="00121809">
              <w:rPr>
                <w:rFonts w:ascii="Calibri" w:eastAsia="Times New Roman" w:hAnsi="Calibri" w:cs="Times New Roman"/>
                <w:lang w:eastAsia="es-ES"/>
              </w:rPr>
              <w:t xml:space="preserve">  al objeto de homogeneizarla con los requisitos del sistema de información del SIGC-SUA. No obstante, se mantiene la redacción de los ítems conforme al ciclo anterior.</w:t>
            </w:r>
          </w:p>
        </w:tc>
      </w:tr>
      <w:tr w:rsidR="004435E0" w:rsidRPr="004435E0" w:rsidTr="004435E0">
        <w:trPr>
          <w:trHeight w:val="315"/>
        </w:trPr>
        <w:tc>
          <w:tcPr>
            <w:tcW w:w="1579" w:type="pct"/>
            <w:gridSpan w:val="4"/>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21"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w:t>
            </w:r>
          </w:p>
        </w:tc>
      </w:tr>
    </w:tbl>
    <w:p w:rsidR="004435E0" w:rsidRDefault="004435E0" w:rsidP="00B0405F">
      <w:pPr>
        <w:spacing w:line="240" w:lineRule="auto"/>
        <w:rPr>
          <w:b/>
        </w:rPr>
      </w:pPr>
    </w:p>
    <w:tbl>
      <w:tblPr>
        <w:tblW w:w="5000" w:type="pct"/>
        <w:tblCellMar>
          <w:left w:w="70" w:type="dxa"/>
          <w:right w:w="70" w:type="dxa"/>
        </w:tblCellMar>
        <w:tblLook w:val="04A0" w:firstRow="1" w:lastRow="0" w:firstColumn="1" w:lastColumn="0" w:noHBand="0" w:noVBand="1"/>
      </w:tblPr>
      <w:tblGrid>
        <w:gridCol w:w="1239"/>
        <w:gridCol w:w="1095"/>
        <w:gridCol w:w="463"/>
        <w:gridCol w:w="782"/>
        <w:gridCol w:w="1678"/>
        <w:gridCol w:w="1173"/>
        <w:gridCol w:w="3463"/>
      </w:tblGrid>
      <w:tr w:rsidR="004435E0" w:rsidRPr="004435E0" w:rsidTr="00FF4EB0">
        <w:trPr>
          <w:trHeight w:val="315"/>
        </w:trPr>
        <w:tc>
          <w:tcPr>
            <w:tcW w:w="626"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554" w:type="pct"/>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67-2014</w:t>
            </w:r>
          </w:p>
        </w:tc>
        <w:tc>
          <w:tcPr>
            <w:tcW w:w="628" w:type="pct"/>
            <w:gridSpan w:val="2"/>
            <w:tcBorders>
              <w:top w:val="double" w:sz="6" w:space="0" w:color="808080"/>
              <w:left w:val="nil"/>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 de la mejora:</w:t>
            </w:r>
          </w:p>
        </w:tc>
        <w:tc>
          <w:tcPr>
            <w:tcW w:w="3191" w:type="pct"/>
            <w:gridSpan w:val="3"/>
            <w:tcBorders>
              <w:top w:val="double" w:sz="6"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Gestión interna.</w:t>
            </w:r>
          </w:p>
        </w:tc>
      </w:tr>
      <w:tr w:rsidR="004435E0" w:rsidRPr="004435E0" w:rsidTr="004435E0">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4435E0" w:rsidRPr="004435E0" w:rsidTr="004435E0">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 de Departamentos, Centro e Institutos de Investigación</w:t>
            </w:r>
          </w:p>
        </w:tc>
      </w:tr>
      <w:tr w:rsidR="004435E0" w:rsidRPr="004435E0" w:rsidTr="004435E0">
        <w:trPr>
          <w:trHeight w:val="66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Aumentar los niveles de participación de los usuarios en la tramitación de quejas y sugerencias de forma telemática, a través de los medios con los que cuenta la Unidad.  </w:t>
            </w:r>
          </w:p>
        </w:tc>
      </w:tr>
      <w:tr w:rsidR="004435E0" w:rsidRPr="004435E0" w:rsidTr="004435E0">
        <w:trPr>
          <w:trHeight w:val="63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Causa:</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Número de quejas o sugerencias por parte de los usuarios, prácticamente inexistente en los últimos ciclos de gestión (2012-2013). </w:t>
            </w:r>
          </w:p>
        </w:tc>
      </w:tr>
      <w:tr w:rsidR="004435E0" w:rsidRPr="004435E0" w:rsidTr="004435E0">
        <w:trPr>
          <w:trHeight w:val="73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Objetivo:</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Aumentar la facilidad y el acceso de los usuarios en la tramitación de quejas y sugerencias a la UTLA.  </w:t>
            </w:r>
          </w:p>
        </w:tc>
      </w:tr>
      <w:tr w:rsidR="004435E0" w:rsidRPr="004435E0" w:rsidTr="004435E0">
        <w:trPr>
          <w:trHeight w:val="130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Recursos:</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Al igual que se ha hecho con la tramitación de las Incidencias en la Unidad, al incluir un hipervínculo en la parte inferior de la Solicitud de Servicios de Laboratorios, se </w:t>
            </w:r>
            <w:proofErr w:type="spellStart"/>
            <w:r w:rsidRPr="004435E0">
              <w:rPr>
                <w:rFonts w:ascii="Calibri" w:eastAsia="Times New Roman" w:hAnsi="Calibri" w:cs="Times New Roman"/>
                <w:color w:val="000000"/>
                <w:lang w:eastAsia="es-ES"/>
              </w:rPr>
              <w:t>prodría</w:t>
            </w:r>
            <w:proofErr w:type="spellEnd"/>
            <w:r w:rsidRPr="004435E0">
              <w:rPr>
                <w:rFonts w:ascii="Calibri" w:eastAsia="Times New Roman" w:hAnsi="Calibri" w:cs="Times New Roman"/>
                <w:color w:val="000000"/>
                <w:lang w:eastAsia="es-ES"/>
              </w:rPr>
              <w:t xml:space="preserve"> incluir otro adicional que enlazara con el sistema de gestión de Quejas y Sugerencias del Servicio de Información y AA.GG, independientemente de que en la página principal de la web de la Unidad, ya exista un enlace a dicho sistema.  </w:t>
            </w:r>
          </w:p>
        </w:tc>
      </w:tr>
      <w:tr w:rsidR="004435E0" w:rsidRPr="004435E0" w:rsidTr="004435E0">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Responsable:</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UTLA  </w:t>
            </w:r>
          </w:p>
        </w:tc>
      </w:tr>
      <w:tr w:rsidR="004435E0" w:rsidRPr="004435E0" w:rsidTr="004435E0">
        <w:trPr>
          <w:trHeight w:val="51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Previsión de resultados:</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La facilidad al acceso tendría resultados positivos en el número de sugerencias/quejas tramitadas.  </w:t>
            </w:r>
          </w:p>
        </w:tc>
      </w:tr>
      <w:tr w:rsidR="004435E0" w:rsidRPr="004435E0" w:rsidTr="004435E0">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Prioridad:</w:t>
            </w:r>
          </w:p>
        </w:tc>
        <w:tc>
          <w:tcPr>
            <w:tcW w:w="4374" w:type="pct"/>
            <w:gridSpan w:val="6"/>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Alta</w:t>
            </w:r>
          </w:p>
        </w:tc>
      </w:tr>
      <w:tr w:rsidR="004435E0" w:rsidRPr="004435E0" w:rsidTr="004435E0">
        <w:trPr>
          <w:trHeight w:val="300"/>
        </w:trPr>
        <w:tc>
          <w:tcPr>
            <w:tcW w:w="141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Fecha de Autorización de la Gerencia:</w:t>
            </w:r>
          </w:p>
        </w:tc>
        <w:tc>
          <w:tcPr>
            <w:tcW w:w="3586"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Abril 2014</w:t>
            </w:r>
          </w:p>
        </w:tc>
      </w:tr>
      <w:tr w:rsidR="004435E0" w:rsidRPr="004435E0" w:rsidTr="004435E0">
        <w:trPr>
          <w:trHeight w:val="300"/>
        </w:trPr>
        <w:tc>
          <w:tcPr>
            <w:tcW w:w="1414" w:type="pct"/>
            <w:gridSpan w:val="3"/>
            <w:tcBorders>
              <w:top w:val="single" w:sz="4" w:space="0" w:color="808080"/>
              <w:left w:val="double" w:sz="6" w:space="0" w:color="808080"/>
              <w:bottom w:val="nil"/>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Desarrollo temporal:</w:t>
            </w:r>
          </w:p>
        </w:tc>
        <w:tc>
          <w:tcPr>
            <w:tcW w:w="395" w:type="pct"/>
            <w:tcBorders>
              <w:top w:val="nil"/>
              <w:left w:val="nil"/>
              <w:bottom w:val="nil"/>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Inicio:</w:t>
            </w:r>
          </w:p>
        </w:tc>
        <w:tc>
          <w:tcPr>
            <w:tcW w:w="848" w:type="pct"/>
            <w:tcBorders>
              <w:top w:val="single" w:sz="4" w:space="0" w:color="808080"/>
              <w:left w:val="nil"/>
              <w:bottom w:val="nil"/>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01-oct-14</w:t>
            </w:r>
          </w:p>
        </w:tc>
        <w:tc>
          <w:tcPr>
            <w:tcW w:w="593" w:type="pct"/>
            <w:tcBorders>
              <w:top w:val="nil"/>
              <w:left w:val="nil"/>
              <w:bottom w:val="nil"/>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Finalización:</w:t>
            </w:r>
          </w:p>
        </w:tc>
        <w:tc>
          <w:tcPr>
            <w:tcW w:w="1750" w:type="pct"/>
            <w:tcBorders>
              <w:top w:val="single" w:sz="4" w:space="0" w:color="808080"/>
              <w:left w:val="nil"/>
              <w:bottom w:val="nil"/>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18-dic-14</w:t>
            </w:r>
          </w:p>
        </w:tc>
      </w:tr>
      <w:tr w:rsidR="004435E0" w:rsidRPr="004435E0" w:rsidTr="004435E0">
        <w:trPr>
          <w:trHeight w:val="1395"/>
        </w:trPr>
        <w:tc>
          <w:tcPr>
            <w:tcW w:w="141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 de resultados obtenidos:</w:t>
            </w:r>
          </w:p>
        </w:tc>
        <w:tc>
          <w:tcPr>
            <w:tcW w:w="3586" w:type="pct"/>
            <w:gridSpan w:val="4"/>
            <w:tcBorders>
              <w:top w:val="single" w:sz="4" w:space="0" w:color="808080"/>
              <w:left w:val="nil"/>
              <w:bottom w:val="single" w:sz="4" w:space="0" w:color="808080"/>
              <w:right w:val="double" w:sz="6" w:space="0" w:color="808080"/>
            </w:tcBorders>
            <w:shd w:val="clear" w:color="auto" w:fill="auto"/>
            <w:hideMark/>
          </w:tcPr>
          <w:p w:rsidR="005737FF" w:rsidRDefault="004435E0" w:rsidP="004435E0">
            <w:pPr>
              <w:spacing w:line="240" w:lineRule="auto"/>
              <w:rPr>
                <w:rFonts w:ascii="Calibri" w:eastAsia="Times New Roman" w:hAnsi="Calibri" w:cs="Times New Roman"/>
                <w:color w:val="FF0000"/>
                <w:lang w:eastAsia="es-ES"/>
              </w:rPr>
            </w:pPr>
            <w:r w:rsidRPr="004435E0">
              <w:rPr>
                <w:rFonts w:ascii="Calibri" w:eastAsia="Times New Roman" w:hAnsi="Calibri" w:cs="Times New Roman"/>
                <w:color w:val="000000"/>
                <w:lang w:eastAsia="es-ES"/>
              </w:rPr>
              <w:t>Actualización por parte del Grupo de Pagina Web (GPW) del portal  para que sea más intuitivo a la hora de ser manipulada por los usuarios</w:t>
            </w:r>
            <w:r w:rsidRPr="004435E0">
              <w:rPr>
                <w:rFonts w:ascii="Calibri" w:eastAsia="Times New Roman" w:hAnsi="Calibri" w:cs="Times New Roman"/>
                <w:color w:val="FF0000"/>
                <w:lang w:eastAsia="es-ES"/>
              </w:rPr>
              <w:t>.</w:t>
            </w:r>
            <w:r w:rsidR="005737FF">
              <w:rPr>
                <w:rFonts w:ascii="Calibri" w:eastAsia="Times New Roman" w:hAnsi="Calibri" w:cs="Times New Roman"/>
                <w:color w:val="FF0000"/>
                <w:lang w:eastAsia="es-ES"/>
              </w:rPr>
              <w:t xml:space="preserve"> </w:t>
            </w:r>
          </w:p>
          <w:p w:rsidR="004435E0" w:rsidRPr="004435E0" w:rsidRDefault="004435E0" w:rsidP="004435E0">
            <w:pPr>
              <w:spacing w:line="240" w:lineRule="auto"/>
              <w:rPr>
                <w:rFonts w:ascii="Calibri" w:eastAsia="Times New Roman" w:hAnsi="Calibri" w:cs="Times New Roman"/>
                <w:color w:val="000000"/>
                <w:lang w:eastAsia="es-ES"/>
              </w:rPr>
            </w:pPr>
            <w:r w:rsidRPr="00FF4EB0">
              <w:rPr>
                <w:rFonts w:ascii="Calibri" w:eastAsia="Times New Roman" w:hAnsi="Calibri" w:cs="Times New Roman"/>
                <w:lang w:eastAsia="es-ES"/>
              </w:rPr>
              <w:t>La participación de usuarios en la tramitación de quejas y suger</w:t>
            </w:r>
            <w:r w:rsidR="00F91C7A" w:rsidRPr="00FF4EB0">
              <w:rPr>
                <w:rFonts w:ascii="Calibri" w:eastAsia="Times New Roman" w:hAnsi="Calibri" w:cs="Times New Roman"/>
                <w:lang w:eastAsia="es-ES"/>
              </w:rPr>
              <w:t>encias no se ha visto modificada</w:t>
            </w:r>
            <w:r w:rsidRPr="00FF4EB0">
              <w:rPr>
                <w:rFonts w:ascii="Calibri" w:eastAsia="Times New Roman" w:hAnsi="Calibri" w:cs="Times New Roman"/>
                <w:lang w:eastAsia="es-ES"/>
              </w:rPr>
              <w:t>, no obstante se han recibido felicitaciones verbales por el diseño de la nueva página web.</w:t>
            </w:r>
          </w:p>
        </w:tc>
      </w:tr>
      <w:tr w:rsidR="004435E0" w:rsidRPr="004435E0" w:rsidTr="00FF4EB0">
        <w:trPr>
          <w:trHeight w:val="627"/>
        </w:trPr>
        <w:tc>
          <w:tcPr>
            <w:tcW w:w="1414" w:type="pct"/>
            <w:gridSpan w:val="3"/>
            <w:tcBorders>
              <w:top w:val="nil"/>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de resultados en auditoría, si procede:</w:t>
            </w:r>
          </w:p>
        </w:tc>
        <w:tc>
          <w:tcPr>
            <w:tcW w:w="3586" w:type="pct"/>
            <w:gridSpan w:val="4"/>
            <w:tcBorders>
              <w:top w:val="single" w:sz="4" w:space="0" w:color="808080"/>
              <w:left w:val="nil"/>
              <w:bottom w:val="double" w:sz="6" w:space="0" w:color="808080"/>
              <w:right w:val="double" w:sz="6" w:space="0" w:color="808080"/>
            </w:tcBorders>
            <w:shd w:val="clear" w:color="auto" w:fill="auto"/>
            <w:hideMark/>
          </w:tcPr>
          <w:p w:rsid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El cambio de la página web de la unidad se está llevando a cabo progresivamente departamento a departamento. A fecha de auditoría se verifica como el Departamento de Química Física y Analítica tiene la web modificada y es más intuitiva que la del Departamento de Biología Experimental que aún no se ha modificado. Esta actualización se informó en la reunión del Pleno de la UTLA de fecha 23/01/2015.</w:t>
            </w:r>
            <w:r w:rsidRPr="004435E0">
              <w:rPr>
                <w:rFonts w:ascii="Calibri" w:eastAsia="Times New Roman" w:hAnsi="Calibri" w:cs="Times New Roman"/>
                <w:color w:val="000000"/>
                <w:lang w:eastAsia="es-ES"/>
              </w:rPr>
              <w:br/>
              <w:t>Mejora en proceso de implantación, por tanto, aún no se puede comprobar si tendrá resultados positivos sobre la participación de los usuarios en la tramitación de quejas y sugerencias.</w:t>
            </w:r>
          </w:p>
          <w:p w:rsidR="00F91C7A" w:rsidRDefault="00F91C7A" w:rsidP="004435E0">
            <w:pPr>
              <w:spacing w:line="240" w:lineRule="auto"/>
              <w:rPr>
                <w:rFonts w:ascii="Calibri" w:eastAsia="Times New Roman" w:hAnsi="Calibri" w:cs="Times New Roman"/>
                <w:color w:val="000000"/>
                <w:lang w:eastAsia="es-ES"/>
              </w:rPr>
            </w:pPr>
          </w:p>
          <w:p w:rsidR="00F91C7A" w:rsidRPr="004435E0" w:rsidRDefault="00F91C7A" w:rsidP="003F17B5">
            <w:pPr>
              <w:spacing w:line="240" w:lineRule="auto"/>
              <w:rPr>
                <w:rFonts w:ascii="Calibri" w:eastAsia="Times New Roman" w:hAnsi="Calibri" w:cs="Times New Roman"/>
                <w:color w:val="000000"/>
                <w:lang w:eastAsia="es-ES"/>
              </w:rPr>
            </w:pPr>
            <w:r w:rsidRPr="00FF4EB0">
              <w:rPr>
                <w:rFonts w:ascii="Calibri" w:eastAsia="Times New Roman" w:hAnsi="Calibri" w:cs="Times New Roman"/>
                <w:lang w:eastAsia="es-ES"/>
              </w:rPr>
              <w:t xml:space="preserve">A fecha de auditoría se verifica que la modificación de la página web se ha llevado a cabo en todos los departamentos; sin embargo, no se puede </w:t>
            </w:r>
            <w:r w:rsidR="003F17B5" w:rsidRPr="00FF4EB0">
              <w:rPr>
                <w:rFonts w:ascii="Calibri" w:eastAsia="Times New Roman" w:hAnsi="Calibri" w:cs="Times New Roman"/>
                <w:lang w:eastAsia="es-ES"/>
              </w:rPr>
              <w:lastRenderedPageBreak/>
              <w:t>evidenciar</w:t>
            </w:r>
            <w:r w:rsidRPr="00FF4EB0">
              <w:rPr>
                <w:rFonts w:ascii="Calibri" w:eastAsia="Times New Roman" w:hAnsi="Calibri" w:cs="Times New Roman"/>
                <w:lang w:eastAsia="es-ES"/>
              </w:rPr>
              <w:t xml:space="preserve"> que esta cambio haya tenido resultados positivos sobre la participación de los usuarios en la tramitación de quejas y sugerencias.</w:t>
            </w:r>
          </w:p>
        </w:tc>
      </w:tr>
    </w:tbl>
    <w:p w:rsidR="00BC4A3A" w:rsidRDefault="00BC4A3A" w:rsidP="00B0405F">
      <w:pPr>
        <w:spacing w:line="240" w:lineRule="auto"/>
        <w:rPr>
          <w:b/>
        </w:rPr>
      </w:pPr>
    </w:p>
    <w:tbl>
      <w:tblPr>
        <w:tblW w:w="5000" w:type="pct"/>
        <w:tblLayout w:type="fixed"/>
        <w:tblCellMar>
          <w:left w:w="70" w:type="dxa"/>
          <w:right w:w="70" w:type="dxa"/>
        </w:tblCellMar>
        <w:tblLook w:val="04A0" w:firstRow="1" w:lastRow="0" w:firstColumn="1" w:lastColumn="0" w:noHBand="0" w:noVBand="1"/>
      </w:tblPr>
      <w:tblGrid>
        <w:gridCol w:w="1150"/>
        <w:gridCol w:w="1472"/>
        <w:gridCol w:w="370"/>
        <w:gridCol w:w="906"/>
        <w:gridCol w:w="5995"/>
      </w:tblGrid>
      <w:tr w:rsidR="004435E0" w:rsidRPr="004435E0" w:rsidTr="00EA4DF1">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Código:</w:t>
            </w:r>
          </w:p>
        </w:tc>
        <w:tc>
          <w:tcPr>
            <w:tcW w:w="744" w:type="pct"/>
            <w:tcBorders>
              <w:top w:val="double" w:sz="6" w:space="0" w:color="808080"/>
              <w:left w:val="nil"/>
              <w:bottom w:val="single" w:sz="4" w:space="0" w:color="808080"/>
              <w:right w:val="single" w:sz="4"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b/>
                <w:bCs/>
                <w:color w:val="000000"/>
                <w:lang w:eastAsia="es-ES"/>
              </w:rPr>
            </w:pPr>
            <w:r w:rsidRPr="004435E0">
              <w:rPr>
                <w:rFonts w:ascii="Calibri" w:eastAsia="Times New Roman" w:hAnsi="Calibri" w:cs="Times New Roman"/>
                <w:b/>
                <w:bCs/>
                <w:color w:val="000000"/>
                <w:lang w:eastAsia="es-ES"/>
              </w:rPr>
              <w:t>105-2014-AIS</w:t>
            </w:r>
          </w:p>
        </w:tc>
        <w:tc>
          <w:tcPr>
            <w:tcW w:w="645" w:type="pct"/>
            <w:gridSpan w:val="2"/>
            <w:tcBorders>
              <w:top w:val="double" w:sz="6" w:space="0" w:color="808080"/>
              <w:left w:val="nil"/>
              <w:bottom w:val="single" w:sz="4" w:space="0" w:color="808080"/>
              <w:right w:val="single" w:sz="4" w:space="0" w:color="auto"/>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Naturaleza:</w:t>
            </w:r>
          </w:p>
        </w:tc>
        <w:tc>
          <w:tcPr>
            <w:tcW w:w="3030" w:type="pct"/>
            <w:tcBorders>
              <w:top w:val="double" w:sz="6" w:space="0" w:color="808080"/>
              <w:left w:val="nil"/>
              <w:bottom w:val="single" w:sz="4" w:space="0" w:color="808080"/>
              <w:right w:val="double" w:sz="6" w:space="0" w:color="808080"/>
            </w:tcBorders>
            <w:shd w:val="clear" w:color="000000" w:fill="FFFFFF"/>
            <w:vAlign w:val="center"/>
            <w:hideMark/>
          </w:tcPr>
          <w:p w:rsidR="004435E0" w:rsidRPr="004435E0" w:rsidRDefault="00EA4DF1" w:rsidP="004435E0">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Encuestas post-servicios: ali</w:t>
            </w:r>
            <w:r w:rsidR="004435E0" w:rsidRPr="004435E0">
              <w:rPr>
                <w:rFonts w:ascii="Calibri" w:eastAsia="Times New Roman" w:hAnsi="Calibri" w:cs="Times New Roman"/>
                <w:color w:val="000000"/>
                <w:lang w:eastAsia="es-ES"/>
              </w:rPr>
              <w:t>neamiento/segmentación</w:t>
            </w:r>
          </w:p>
        </w:tc>
      </w:tr>
      <w:tr w:rsidR="004435E0" w:rsidRPr="004435E0" w:rsidTr="00EA4DF1">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Proceso:</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PC 08. GESTIÓN DE LA PRESTACIÓN DE SERVICIO</w:t>
            </w:r>
            <w:r w:rsidR="003A216B">
              <w:rPr>
                <w:rFonts w:ascii="Calibri" w:eastAsia="Times New Roman" w:hAnsi="Calibri" w:cs="Times New Roman"/>
                <w:color w:val="000000"/>
                <w:lang w:eastAsia="es-ES"/>
              </w:rPr>
              <w:t>S DE APOYO CIENTÍFICO TÉCNICO.</w:t>
            </w:r>
          </w:p>
        </w:tc>
      </w:tr>
      <w:tr w:rsidR="004435E0" w:rsidRPr="004435E0" w:rsidTr="00EA4DF1">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Unidad/es:</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Unidad Funcional de Técnicos de Laboratorio de Apoyo a Departamentos, institutos y Centros de Investigación (UTLA).</w:t>
            </w:r>
          </w:p>
        </w:tc>
      </w:tr>
      <w:tr w:rsidR="004435E0" w:rsidRPr="004435E0" w:rsidTr="00EA4DF1">
        <w:trPr>
          <w:trHeight w:val="102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Descripción:</w:t>
            </w:r>
          </w:p>
        </w:tc>
        <w:tc>
          <w:tcPr>
            <w:tcW w:w="4419" w:type="pct"/>
            <w:gridSpan w:val="4"/>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jc w:val="both"/>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 xml:space="preserve">Se recomienda para las tres encuestas, Resolución Práctica de Consulta, Apoyo a la Docencia  y Apoyo a la Investigación, alinear los ítems con los factores de calidad del servicio prestado y disponer de segmentación por unidades de gestión, que permita establecer mejoras. </w:t>
            </w:r>
          </w:p>
        </w:tc>
      </w:tr>
      <w:tr w:rsidR="004435E0" w:rsidRPr="004435E0" w:rsidTr="00EA4DF1">
        <w:trPr>
          <w:trHeight w:val="300"/>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Actuaciones realizadas:</w:t>
            </w:r>
          </w:p>
        </w:tc>
        <w:tc>
          <w:tcPr>
            <w:tcW w:w="3488"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Desde el grupo de mejora se está trabajando en esta recomendación.</w:t>
            </w:r>
          </w:p>
        </w:tc>
      </w:tr>
      <w:tr w:rsidR="004435E0" w:rsidRPr="004435E0" w:rsidTr="00EA4DF1">
        <w:trPr>
          <w:trHeight w:val="3015"/>
        </w:trPr>
        <w:tc>
          <w:tcPr>
            <w:tcW w:w="1512"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 xml:space="preserve">Resultados de seguimiento: </w:t>
            </w:r>
          </w:p>
        </w:tc>
        <w:tc>
          <w:tcPr>
            <w:tcW w:w="3488" w:type="pct"/>
            <w:gridSpan w:val="2"/>
            <w:tcBorders>
              <w:top w:val="single" w:sz="4" w:space="0" w:color="808080"/>
              <w:left w:val="nil"/>
              <w:bottom w:val="single" w:sz="4" w:space="0" w:color="808080"/>
              <w:right w:val="double" w:sz="6" w:space="0" w:color="808080"/>
            </w:tcBorders>
            <w:shd w:val="clear" w:color="auto" w:fill="auto"/>
            <w:vAlign w:val="center"/>
            <w:hideMark/>
          </w:tcPr>
          <w:p w:rsidR="004435E0" w:rsidRP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En ninguna de las encuestas se han alineado los ítems con los factores de calidad del servicio prestado.</w:t>
            </w:r>
            <w:r w:rsidRPr="004435E0">
              <w:rPr>
                <w:rFonts w:ascii="Calibri" w:eastAsia="Times New Roman" w:hAnsi="Calibri" w:cs="Times New Roman"/>
                <w:color w:val="000000"/>
                <w:lang w:eastAsia="es-ES"/>
              </w:rPr>
              <w:br/>
              <w:t>El Grupo de Mejora de la unidad acordó</w:t>
            </w:r>
            <w:r w:rsidR="00C35983">
              <w:rPr>
                <w:rFonts w:ascii="Calibri" w:eastAsia="Times New Roman" w:hAnsi="Calibri" w:cs="Times New Roman"/>
                <w:color w:val="000000"/>
                <w:lang w:eastAsia="es-ES"/>
              </w:rPr>
              <w:t xml:space="preserve"> </w:t>
            </w:r>
            <w:r w:rsidRPr="004435E0">
              <w:rPr>
                <w:rFonts w:ascii="Calibri" w:eastAsia="Times New Roman" w:hAnsi="Calibri" w:cs="Times New Roman"/>
                <w:color w:val="000000"/>
                <w:lang w:eastAsia="es-ES"/>
              </w:rPr>
              <w:t>en  reunión de fecha 02/01/2015 dejar pendiente esta actuación para estudiarla más despacio.</w:t>
            </w:r>
            <w:r w:rsidRPr="004435E0">
              <w:rPr>
                <w:rFonts w:ascii="Calibri" w:eastAsia="Times New Roman" w:hAnsi="Calibri" w:cs="Times New Roman"/>
                <w:color w:val="000000"/>
                <w:lang w:eastAsia="es-ES"/>
              </w:rPr>
              <w:br/>
              <w:t xml:space="preserve">Actualmente la UTLA dispone de los datos de encuestas recibidas segmentados por unidades de gestión, tan solo no se ha podido verificar el dato de encuestas enviadas por cada una de las tres existentes. </w:t>
            </w:r>
            <w:r w:rsidRPr="00FF4EB0">
              <w:rPr>
                <w:rFonts w:ascii="Calibri" w:eastAsia="Times New Roman" w:hAnsi="Calibri" w:cs="Times New Roman"/>
                <w:lang w:eastAsia="es-ES"/>
              </w:rPr>
              <w:t>Se han realizado las modificaciones necesarias para poder obtener el dato de número de encuestas enviadas por cada tipo, tanto a nivel global como segmentado por unidades de gestión y se han modificado los ítems que han pasado a ser muy satisfecho, satisfecho, ni satisfecho/ni insatisfecho, insatisfecho y muy insatisfecho</w:t>
            </w:r>
            <w:r w:rsidR="00FF4EB0">
              <w:rPr>
                <w:rFonts w:ascii="Calibri" w:eastAsia="Times New Roman" w:hAnsi="Calibri" w:cs="Times New Roman"/>
                <w:lang w:eastAsia="es-ES"/>
              </w:rPr>
              <w:t>.</w:t>
            </w:r>
          </w:p>
        </w:tc>
      </w:tr>
      <w:tr w:rsidR="004435E0" w:rsidRPr="004435E0" w:rsidTr="00EA4DF1">
        <w:trPr>
          <w:trHeight w:val="840"/>
        </w:trPr>
        <w:tc>
          <w:tcPr>
            <w:tcW w:w="1512"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4435E0" w:rsidRPr="004435E0" w:rsidRDefault="004435E0" w:rsidP="004435E0">
            <w:pPr>
              <w:spacing w:line="240" w:lineRule="auto"/>
              <w:rPr>
                <w:rFonts w:ascii="Calibri" w:eastAsia="Times New Roman" w:hAnsi="Calibri" w:cs="Times New Roman"/>
                <w:b/>
                <w:bCs/>
                <w:i/>
                <w:iCs/>
                <w:color w:val="000000"/>
                <w:sz w:val="20"/>
                <w:szCs w:val="20"/>
                <w:lang w:eastAsia="es-ES"/>
              </w:rPr>
            </w:pPr>
            <w:r w:rsidRPr="004435E0">
              <w:rPr>
                <w:rFonts w:ascii="Calibri" w:eastAsia="Times New Roman" w:hAnsi="Calibri" w:cs="Times New Roman"/>
                <w:b/>
                <w:bCs/>
                <w:i/>
                <w:iCs/>
                <w:color w:val="000000"/>
                <w:sz w:val="20"/>
                <w:szCs w:val="20"/>
                <w:lang w:eastAsia="es-ES"/>
              </w:rPr>
              <w:t>Verificación, si procede:</w:t>
            </w:r>
          </w:p>
        </w:tc>
        <w:tc>
          <w:tcPr>
            <w:tcW w:w="3488" w:type="pct"/>
            <w:gridSpan w:val="2"/>
            <w:tcBorders>
              <w:top w:val="single" w:sz="4" w:space="0" w:color="808080"/>
              <w:left w:val="nil"/>
              <w:bottom w:val="double" w:sz="6" w:space="0" w:color="808080"/>
              <w:right w:val="double" w:sz="6" w:space="0" w:color="808080"/>
            </w:tcBorders>
            <w:shd w:val="clear" w:color="auto" w:fill="auto"/>
            <w:vAlign w:val="center"/>
            <w:hideMark/>
          </w:tcPr>
          <w:p w:rsidR="004435E0" w:rsidRDefault="004435E0" w:rsidP="004435E0">
            <w:pPr>
              <w:spacing w:line="240" w:lineRule="auto"/>
              <w:rPr>
                <w:rFonts w:ascii="Calibri" w:eastAsia="Times New Roman" w:hAnsi="Calibri" w:cs="Times New Roman"/>
                <w:color w:val="000000"/>
                <w:lang w:eastAsia="es-ES"/>
              </w:rPr>
            </w:pPr>
            <w:r w:rsidRPr="004435E0">
              <w:rPr>
                <w:rFonts w:ascii="Calibri" w:eastAsia="Times New Roman" w:hAnsi="Calibri" w:cs="Times New Roman"/>
                <w:color w:val="000000"/>
                <w:lang w:eastAsia="es-ES"/>
              </w:rPr>
              <w:t>Verificado la segmentación de datos por unidades de gestión.</w:t>
            </w:r>
            <w:r w:rsidRPr="004435E0">
              <w:rPr>
                <w:rFonts w:ascii="Calibri" w:eastAsia="Times New Roman" w:hAnsi="Calibri" w:cs="Times New Roman"/>
                <w:color w:val="000000"/>
                <w:lang w:eastAsia="es-ES"/>
              </w:rPr>
              <w:br/>
              <w:t>Sin implantar la alineación de ítems con factores de calidad</w:t>
            </w:r>
            <w:r w:rsidR="00FF4EB0">
              <w:rPr>
                <w:rFonts w:ascii="Calibri" w:eastAsia="Times New Roman" w:hAnsi="Calibri" w:cs="Times New Roman"/>
                <w:color w:val="000000"/>
                <w:lang w:eastAsia="es-ES"/>
              </w:rPr>
              <w:t>.</w:t>
            </w:r>
          </w:p>
          <w:p w:rsidR="003F17B5" w:rsidRPr="003F17B5" w:rsidRDefault="003F17B5" w:rsidP="00CB22B7">
            <w:pPr>
              <w:spacing w:line="240" w:lineRule="auto"/>
              <w:rPr>
                <w:rFonts w:ascii="Calibri" w:eastAsia="Times New Roman" w:hAnsi="Calibri" w:cs="Times New Roman"/>
                <w:color w:val="548DD4" w:themeColor="text2" w:themeTint="99"/>
                <w:lang w:eastAsia="es-ES"/>
              </w:rPr>
            </w:pPr>
            <w:r w:rsidRPr="00FF4EB0">
              <w:rPr>
                <w:rFonts w:ascii="Calibri" w:eastAsia="Times New Roman" w:hAnsi="Calibri" w:cs="Times New Roman"/>
                <w:lang w:eastAsia="es-ES"/>
              </w:rPr>
              <w:t xml:space="preserve">Se </w:t>
            </w:r>
            <w:r w:rsidR="00CB22B7" w:rsidRPr="00FF4EB0">
              <w:rPr>
                <w:rFonts w:ascii="Calibri" w:eastAsia="Times New Roman" w:hAnsi="Calibri" w:cs="Times New Roman"/>
                <w:lang w:eastAsia="es-ES"/>
              </w:rPr>
              <w:t xml:space="preserve">verifica que se ha alineado la escala de valoración de los ítems de la encuesta </w:t>
            </w:r>
            <w:proofErr w:type="spellStart"/>
            <w:r w:rsidR="00CB22B7" w:rsidRPr="00FF4EB0">
              <w:rPr>
                <w:rFonts w:ascii="Calibri" w:eastAsia="Times New Roman" w:hAnsi="Calibri" w:cs="Times New Roman"/>
                <w:lang w:eastAsia="es-ES"/>
              </w:rPr>
              <w:t>postservicio</w:t>
            </w:r>
            <w:proofErr w:type="spellEnd"/>
            <w:r w:rsidR="00CB22B7" w:rsidRPr="00FF4EB0">
              <w:rPr>
                <w:rFonts w:ascii="Calibri" w:eastAsia="Times New Roman" w:hAnsi="Calibri" w:cs="Times New Roman"/>
                <w:lang w:eastAsia="es-ES"/>
              </w:rPr>
              <w:t xml:space="preserve">  al objeto de homogeneizarla con los requisitos del sistema de información del SIGC-SUA. No obstante, se mantiene la redacción de los ítems conforme al ciclo anterior.</w:t>
            </w:r>
          </w:p>
        </w:tc>
      </w:tr>
    </w:tbl>
    <w:p w:rsidR="004435E0" w:rsidRDefault="004435E0" w:rsidP="00B0405F">
      <w:pPr>
        <w:spacing w:line="240" w:lineRule="auto"/>
        <w:rPr>
          <w:b/>
        </w:rPr>
      </w:pPr>
    </w:p>
    <w:p w:rsidR="004435E0" w:rsidRDefault="004435E0" w:rsidP="00B0405F">
      <w:pPr>
        <w:spacing w:line="240" w:lineRule="auto"/>
        <w:rPr>
          <w:b/>
        </w:rPr>
      </w:pPr>
    </w:p>
    <w:p w:rsidR="002413BD" w:rsidRDefault="002413BD" w:rsidP="00B0405F">
      <w:pPr>
        <w:spacing w:line="240" w:lineRule="auto"/>
      </w:pPr>
      <w:r>
        <w:rPr>
          <w:b/>
        </w:rPr>
        <w:t>7.- Análisis de resultados.</w:t>
      </w:r>
    </w:p>
    <w:p w:rsidR="003B7D28" w:rsidRDefault="003B7D28" w:rsidP="00B0405F">
      <w:pPr>
        <w:spacing w:line="240" w:lineRule="auto"/>
      </w:pPr>
    </w:p>
    <w:tbl>
      <w:tblPr>
        <w:tblStyle w:val="Tablaconcuadrcula"/>
        <w:tblW w:w="10682" w:type="dxa"/>
        <w:jc w:val="center"/>
        <w:tblLayout w:type="fixed"/>
        <w:tblLook w:val="04A0" w:firstRow="1" w:lastRow="0" w:firstColumn="1" w:lastColumn="0" w:noHBand="0" w:noVBand="1"/>
      </w:tblPr>
      <w:tblGrid>
        <w:gridCol w:w="3867"/>
        <w:gridCol w:w="6815"/>
      </w:tblGrid>
      <w:tr w:rsidR="00A7722C" w:rsidRPr="007A015C" w:rsidTr="00A7722C">
        <w:trPr>
          <w:trHeight w:val="666"/>
          <w:jc w:val="center"/>
        </w:trPr>
        <w:tc>
          <w:tcPr>
            <w:tcW w:w="3867" w:type="dxa"/>
            <w:shd w:val="clear" w:color="auto" w:fill="D9D9D9" w:themeFill="background1" w:themeFillShade="D9"/>
            <w:vAlign w:val="center"/>
          </w:tcPr>
          <w:p w:rsidR="00A7722C" w:rsidRDefault="00A7722C" w:rsidP="001D7A94">
            <w:pPr>
              <w:rPr>
                <w:b/>
                <w:sz w:val="18"/>
                <w:szCs w:val="20"/>
              </w:rPr>
            </w:pPr>
            <w:r w:rsidRPr="00A7722C">
              <w:rPr>
                <w:b/>
                <w:sz w:val="18"/>
                <w:szCs w:val="20"/>
              </w:rPr>
              <w:t>Análisis de las Unidades sobre el seguimiento de los  procesos: indicadores, encuestas, quejas y sugerencias, otros sistemas de información y su relación con las mejoras implantadas o a realizar.</w:t>
            </w:r>
          </w:p>
        </w:tc>
        <w:tc>
          <w:tcPr>
            <w:tcW w:w="6815" w:type="dxa"/>
          </w:tcPr>
          <w:p w:rsidR="00A7722C" w:rsidRPr="00252F8D" w:rsidRDefault="00A7722C" w:rsidP="00A7722C">
            <w:pPr>
              <w:jc w:val="center"/>
              <w:rPr>
                <w:b/>
                <w:sz w:val="18"/>
                <w:szCs w:val="18"/>
              </w:rPr>
            </w:pPr>
            <w:r w:rsidRPr="00252F8D">
              <w:rPr>
                <w:b/>
                <w:sz w:val="18"/>
                <w:szCs w:val="18"/>
              </w:rPr>
              <w:t>Valoración de la Unidad.</w:t>
            </w:r>
          </w:p>
        </w:tc>
      </w:tr>
      <w:tr w:rsidR="003F17B5" w:rsidRPr="007A015C" w:rsidTr="00FF4EB0">
        <w:trPr>
          <w:jc w:val="center"/>
        </w:trPr>
        <w:tc>
          <w:tcPr>
            <w:tcW w:w="3867" w:type="dxa"/>
            <w:shd w:val="clear" w:color="auto" w:fill="auto"/>
            <w:vAlign w:val="center"/>
          </w:tcPr>
          <w:p w:rsidR="003F17B5" w:rsidRPr="00252F8D" w:rsidRDefault="003F17B5" w:rsidP="00252F8D">
            <w:pPr>
              <w:jc w:val="both"/>
              <w:rPr>
                <w:sz w:val="18"/>
                <w:szCs w:val="20"/>
              </w:rPr>
            </w:pPr>
            <w:r w:rsidRPr="00252F8D">
              <w:rPr>
                <w:sz w:val="18"/>
                <w:szCs w:val="20"/>
              </w:rPr>
              <w:t>Valoración y análisis de los resultados obtenidos en su sistema de información (indicadores, encuestas, quejas y sugerencias, información directa de clientes, grupos focales, etc.), observaciones de auditorías y su relación con las  propuestas de mejora a lo largo del presente ciclo 2015 o para el siguiente 2016, a través del informe de seguimiento de procesos.</w:t>
            </w:r>
          </w:p>
        </w:tc>
        <w:tc>
          <w:tcPr>
            <w:tcW w:w="6815" w:type="dxa"/>
            <w:vAlign w:val="center"/>
          </w:tcPr>
          <w:p w:rsidR="003F17B5" w:rsidRPr="00F343A2" w:rsidRDefault="003F17B5" w:rsidP="00FF4EB0">
            <w:r w:rsidRPr="00F343A2">
              <w:t>En base a los resultados que se han ido obteniendo a lo largo del ciclo 2015</w:t>
            </w:r>
            <w:r>
              <w:t xml:space="preserve"> provenientes del sistema de información del SIAG no se han establecido mejoras.</w:t>
            </w:r>
          </w:p>
        </w:tc>
      </w:tr>
      <w:tr w:rsidR="003F17B5" w:rsidTr="00B40450">
        <w:trPr>
          <w:trHeight w:val="857"/>
          <w:jc w:val="center"/>
        </w:trPr>
        <w:tc>
          <w:tcPr>
            <w:tcW w:w="3867" w:type="dxa"/>
            <w:shd w:val="clear" w:color="auto" w:fill="D9D9D9" w:themeFill="background1" w:themeFillShade="D9"/>
            <w:vAlign w:val="center"/>
          </w:tcPr>
          <w:p w:rsidR="003F17B5" w:rsidRPr="00847DD5" w:rsidRDefault="003F17B5" w:rsidP="008F040C">
            <w:pPr>
              <w:rPr>
                <w:b/>
                <w:sz w:val="20"/>
                <w:szCs w:val="20"/>
              </w:rPr>
            </w:pPr>
            <w:r w:rsidRPr="00847DD5">
              <w:rPr>
                <w:b/>
                <w:sz w:val="20"/>
                <w:szCs w:val="20"/>
              </w:rPr>
              <w:t>Valoración de auditoría</w:t>
            </w:r>
          </w:p>
        </w:tc>
        <w:tc>
          <w:tcPr>
            <w:tcW w:w="6815" w:type="dxa"/>
            <w:vAlign w:val="center"/>
          </w:tcPr>
          <w:p w:rsidR="003F17B5" w:rsidRDefault="003F17B5" w:rsidP="00B40450">
            <w:r>
              <w:t>En la próxima revisión del sistema se analizarán los resultados de este ciclo de gestión y, en su caso, se establecerán las mejoras oportunas.</w:t>
            </w:r>
          </w:p>
        </w:tc>
      </w:tr>
    </w:tbl>
    <w:p w:rsidR="00B0405F" w:rsidRDefault="00B0405F" w:rsidP="001D7A94">
      <w:pPr>
        <w:spacing w:line="240" w:lineRule="auto"/>
        <w:rPr>
          <w:rFonts w:ascii="Calibri" w:eastAsia="Times New Roman" w:hAnsi="Calibri" w:cs="Times New Roman"/>
          <w:b/>
          <w:bCs/>
          <w:color w:val="000000"/>
          <w:sz w:val="24"/>
          <w:szCs w:val="24"/>
          <w:lang w:eastAsia="es-ES"/>
        </w:rPr>
      </w:pPr>
    </w:p>
    <w:sectPr w:rsidR="00B0405F" w:rsidSect="00DB24E2">
      <w:headerReference w:type="default" r:id="rId9"/>
      <w:footerReference w:type="default" r:id="rId10"/>
      <w:pgSz w:w="11907" w:h="16839"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D3" w:rsidRDefault="002063D3" w:rsidP="00323545">
      <w:pPr>
        <w:spacing w:line="240" w:lineRule="auto"/>
      </w:pPr>
      <w:r>
        <w:separator/>
      </w:r>
    </w:p>
  </w:endnote>
  <w:endnote w:type="continuationSeparator" w:id="0">
    <w:p w:rsidR="002063D3" w:rsidRDefault="002063D3"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2F" w:rsidRDefault="003B3D2F"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fldChar w:fldCharType="begin"/>
    </w:r>
    <w:r>
      <w:instrText xml:space="preserve"> PAGE </w:instrText>
    </w:r>
    <w:r>
      <w:fldChar w:fldCharType="separate"/>
    </w:r>
    <w:r w:rsidR="004154C1">
      <w:rPr>
        <w:noProof/>
      </w:rPr>
      <w:t>13</w:t>
    </w:r>
    <w:r>
      <w:rPr>
        <w:noProof/>
      </w:rPr>
      <w:fldChar w:fldCharType="end"/>
    </w:r>
    <w:r>
      <w:t xml:space="preserve"> de </w:t>
    </w:r>
    <w:r w:rsidR="002063D3">
      <w:fldChar w:fldCharType="begin"/>
    </w:r>
    <w:r w:rsidR="002063D3">
      <w:instrText xml:space="preserve"> NUMPAGES  </w:instrText>
    </w:r>
    <w:r w:rsidR="002063D3">
      <w:fldChar w:fldCharType="separate"/>
    </w:r>
    <w:r w:rsidR="004154C1">
      <w:rPr>
        <w:noProof/>
      </w:rPr>
      <w:t>13</w:t>
    </w:r>
    <w:r w:rsidR="002063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D3" w:rsidRDefault="002063D3" w:rsidP="00323545">
      <w:pPr>
        <w:spacing w:line="240" w:lineRule="auto"/>
      </w:pPr>
      <w:r>
        <w:separator/>
      </w:r>
    </w:p>
  </w:footnote>
  <w:footnote w:type="continuationSeparator" w:id="0">
    <w:p w:rsidR="002063D3" w:rsidRDefault="002063D3"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3B3D2F" w:rsidTr="00B97F47">
      <w:trPr>
        <w:trHeight w:val="480"/>
        <w:jc w:val="center"/>
      </w:trPr>
      <w:tc>
        <w:tcPr>
          <w:tcW w:w="2467" w:type="dxa"/>
          <w:vMerge w:val="restart"/>
          <w:tcBorders>
            <w:top w:val="single" w:sz="8" w:space="0" w:color="A6A6A6"/>
            <w:left w:val="nil"/>
            <w:bottom w:val="single" w:sz="8" w:space="0" w:color="A6A6A6"/>
            <w:right w:val="nil"/>
          </w:tcBorders>
        </w:tcPr>
        <w:p w:rsidR="003B3D2F" w:rsidRDefault="003B3D2F"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243BEF54" wp14:editId="2A593E7C">
                <wp:extent cx="1247775" cy="390525"/>
                <wp:effectExtent l="19050" t="0" r="9525" b="0"/>
                <wp:docPr id="5"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3B3D2F" w:rsidRPr="00EA013B" w:rsidRDefault="003B3D2F" w:rsidP="00B97F47">
          <w:pPr>
            <w:pStyle w:val="Encabezado"/>
            <w:jc w:val="center"/>
            <w:rPr>
              <w:color w:val="808080"/>
            </w:rPr>
          </w:pPr>
          <w:r>
            <w:rPr>
              <w:noProof/>
            </w:rPr>
            <w:drawing>
              <wp:inline distT="0" distB="0" distL="0" distR="0" wp14:anchorId="3CBEF423" wp14:editId="04A8BB6F">
                <wp:extent cx="819150" cy="657225"/>
                <wp:effectExtent l="0" t="0" r="0" b="0"/>
                <wp:docPr id="6"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3B3D2F" w:rsidRPr="00EA013B" w:rsidRDefault="003B3D2F" w:rsidP="00D313FF">
          <w:pPr>
            <w:jc w:val="both"/>
            <w:rPr>
              <w:b/>
              <w:noProof/>
              <w:color w:val="808080"/>
              <w:sz w:val="20"/>
              <w:szCs w:val="20"/>
            </w:rPr>
          </w:pPr>
          <w:r>
            <w:rPr>
              <w:b/>
              <w:noProof/>
              <w:color w:val="808080"/>
              <w:sz w:val="20"/>
              <w:szCs w:val="20"/>
            </w:rPr>
            <w:t>Auditoría Interna Anual. Ciclo de Gestión 2015</w:t>
          </w:r>
        </w:p>
      </w:tc>
    </w:tr>
    <w:tr w:rsidR="003B3D2F" w:rsidRPr="006A30E0" w:rsidTr="00B97F47">
      <w:trPr>
        <w:trHeight w:val="198"/>
        <w:jc w:val="center"/>
      </w:trPr>
      <w:tc>
        <w:tcPr>
          <w:tcW w:w="2467" w:type="dxa"/>
          <w:vMerge/>
          <w:tcBorders>
            <w:top w:val="nil"/>
            <w:left w:val="nil"/>
            <w:bottom w:val="single" w:sz="8" w:space="0" w:color="A6A6A6"/>
            <w:right w:val="nil"/>
          </w:tcBorders>
        </w:tcPr>
        <w:p w:rsidR="003B3D2F" w:rsidRDefault="003B3D2F" w:rsidP="00B97F47">
          <w:pPr>
            <w:pStyle w:val="Encabezado"/>
            <w:rPr>
              <w:noProof/>
            </w:rPr>
          </w:pPr>
        </w:p>
      </w:tc>
      <w:tc>
        <w:tcPr>
          <w:tcW w:w="2469" w:type="dxa"/>
          <w:vMerge/>
          <w:tcBorders>
            <w:left w:val="nil"/>
            <w:bottom w:val="single" w:sz="8" w:space="0" w:color="A6A6A6"/>
          </w:tcBorders>
          <w:vAlign w:val="center"/>
        </w:tcPr>
        <w:p w:rsidR="003B3D2F" w:rsidRPr="00EA013B" w:rsidRDefault="003B3D2F" w:rsidP="00B97F47">
          <w:pPr>
            <w:pStyle w:val="Encabezado"/>
            <w:rPr>
              <w:b/>
              <w:color w:val="808080"/>
            </w:rPr>
          </w:pPr>
        </w:p>
      </w:tc>
      <w:tc>
        <w:tcPr>
          <w:tcW w:w="4758" w:type="dxa"/>
          <w:tcBorders>
            <w:top w:val="single" w:sz="8" w:space="0" w:color="A6A6A6"/>
            <w:bottom w:val="single" w:sz="8" w:space="0" w:color="A6A6A6"/>
            <w:right w:val="nil"/>
          </w:tcBorders>
          <w:vAlign w:val="center"/>
        </w:tcPr>
        <w:p w:rsidR="003B3D2F" w:rsidRPr="006A30E0" w:rsidRDefault="003B3D2F" w:rsidP="004154C1">
          <w:pPr>
            <w:rPr>
              <w:b/>
              <w:noProof/>
              <w:color w:val="808080"/>
              <w:sz w:val="20"/>
              <w:szCs w:val="20"/>
              <w:lang w:val="en-US"/>
            </w:rPr>
          </w:pPr>
          <w:r>
            <w:rPr>
              <w:b/>
              <w:noProof/>
              <w:color w:val="808080"/>
              <w:sz w:val="20"/>
              <w:szCs w:val="20"/>
              <w:lang w:val="en-US"/>
            </w:rPr>
            <w:t>Febrero 201</w:t>
          </w:r>
          <w:r w:rsidR="004154C1">
            <w:rPr>
              <w:b/>
              <w:noProof/>
              <w:color w:val="808080"/>
              <w:sz w:val="20"/>
              <w:szCs w:val="20"/>
              <w:lang w:val="en-US"/>
            </w:rPr>
            <w:t>6</w:t>
          </w:r>
        </w:p>
      </w:tc>
    </w:tr>
  </w:tbl>
  <w:p w:rsidR="003B3D2F" w:rsidRDefault="003B3D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BF"/>
    <w:multiLevelType w:val="hybridMultilevel"/>
    <w:tmpl w:val="3BF4898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91779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88203C"/>
    <w:multiLevelType w:val="hybridMultilevel"/>
    <w:tmpl w:val="88662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E31360"/>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C3F56AC"/>
    <w:multiLevelType w:val="hybridMultilevel"/>
    <w:tmpl w:val="BC547B7E"/>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07B49C6"/>
    <w:multiLevelType w:val="hybridMultilevel"/>
    <w:tmpl w:val="A5E27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8C1D13"/>
    <w:multiLevelType w:val="hybridMultilevel"/>
    <w:tmpl w:val="3E9C55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F60CA5"/>
    <w:multiLevelType w:val="hybridMultilevel"/>
    <w:tmpl w:val="21D42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3ABD274B"/>
    <w:multiLevelType w:val="hybridMultilevel"/>
    <w:tmpl w:val="AFF8563A"/>
    <w:lvl w:ilvl="0" w:tplc="56B0371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F155B90"/>
    <w:multiLevelType w:val="hybridMultilevel"/>
    <w:tmpl w:val="B89CE5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4576A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78A3371"/>
    <w:multiLevelType w:val="hybridMultilevel"/>
    <w:tmpl w:val="DB8067A4"/>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9059DF"/>
    <w:multiLevelType w:val="hybridMultilevel"/>
    <w:tmpl w:val="A5E275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32729B"/>
    <w:multiLevelType w:val="hybridMultilevel"/>
    <w:tmpl w:val="EFC61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AB17B1"/>
    <w:multiLevelType w:val="hybridMultilevel"/>
    <w:tmpl w:val="78F609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64903B32"/>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FFF5485"/>
    <w:multiLevelType w:val="hybridMultilevel"/>
    <w:tmpl w:val="ECA03C1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16C048C"/>
    <w:multiLevelType w:val="multilevel"/>
    <w:tmpl w:val="AC0616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1812B16"/>
    <w:multiLevelType w:val="hybridMultilevel"/>
    <w:tmpl w:val="4E2AF3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A5D1148"/>
    <w:multiLevelType w:val="hybridMultilevel"/>
    <w:tmpl w:val="D19E14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23"/>
  </w:num>
  <w:num w:numId="8">
    <w:abstractNumId w:val="5"/>
  </w:num>
  <w:num w:numId="9">
    <w:abstractNumId w:val="8"/>
  </w:num>
  <w:num w:numId="10">
    <w:abstractNumId w:val="12"/>
  </w:num>
  <w:num w:numId="11">
    <w:abstractNumId w:val="19"/>
  </w:num>
  <w:num w:numId="12">
    <w:abstractNumId w:val="16"/>
  </w:num>
  <w:num w:numId="13">
    <w:abstractNumId w:val="24"/>
  </w:num>
  <w:num w:numId="14">
    <w:abstractNumId w:val="6"/>
  </w:num>
  <w:num w:numId="15">
    <w:abstractNumId w:val="3"/>
  </w:num>
  <w:num w:numId="16">
    <w:abstractNumId w:val="1"/>
  </w:num>
  <w:num w:numId="17">
    <w:abstractNumId w:val="21"/>
  </w:num>
  <w:num w:numId="18">
    <w:abstractNumId w:val="18"/>
  </w:num>
  <w:num w:numId="19">
    <w:abstractNumId w:val="0"/>
  </w:num>
  <w:num w:numId="20">
    <w:abstractNumId w:val="4"/>
  </w:num>
  <w:num w:numId="21">
    <w:abstractNumId w:val="2"/>
  </w:num>
  <w:num w:numId="22">
    <w:abstractNumId w:val="17"/>
  </w:num>
  <w:num w:numId="23">
    <w:abstractNumId w:val="20"/>
  </w:num>
  <w:num w:numId="24">
    <w:abstractNumId w:val="1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2270"/>
    <w:rsid w:val="000026C2"/>
    <w:rsid w:val="000040C5"/>
    <w:rsid w:val="000048B5"/>
    <w:rsid w:val="00004D16"/>
    <w:rsid w:val="00006F3F"/>
    <w:rsid w:val="000119A1"/>
    <w:rsid w:val="00015A86"/>
    <w:rsid w:val="000214F9"/>
    <w:rsid w:val="00027DAE"/>
    <w:rsid w:val="00051409"/>
    <w:rsid w:val="000609A1"/>
    <w:rsid w:val="00061518"/>
    <w:rsid w:val="000638F2"/>
    <w:rsid w:val="000641B0"/>
    <w:rsid w:val="00065B74"/>
    <w:rsid w:val="00071EE3"/>
    <w:rsid w:val="00072A35"/>
    <w:rsid w:val="000746B7"/>
    <w:rsid w:val="00081245"/>
    <w:rsid w:val="00082EA3"/>
    <w:rsid w:val="000836F0"/>
    <w:rsid w:val="00084D39"/>
    <w:rsid w:val="000862CC"/>
    <w:rsid w:val="000909B0"/>
    <w:rsid w:val="000A0C0A"/>
    <w:rsid w:val="000A2C08"/>
    <w:rsid w:val="000A66D4"/>
    <w:rsid w:val="000B112B"/>
    <w:rsid w:val="000B166E"/>
    <w:rsid w:val="000B1C90"/>
    <w:rsid w:val="000B5E1A"/>
    <w:rsid w:val="000B6DCC"/>
    <w:rsid w:val="000C1828"/>
    <w:rsid w:val="000C19A4"/>
    <w:rsid w:val="000C21C2"/>
    <w:rsid w:val="000C74A7"/>
    <w:rsid w:val="000C7BD2"/>
    <w:rsid w:val="000D147D"/>
    <w:rsid w:val="000D6B84"/>
    <w:rsid w:val="000E2197"/>
    <w:rsid w:val="000F2F92"/>
    <w:rsid w:val="000F4E78"/>
    <w:rsid w:val="000F576E"/>
    <w:rsid w:val="00101E8B"/>
    <w:rsid w:val="00107039"/>
    <w:rsid w:val="001103D9"/>
    <w:rsid w:val="0011152F"/>
    <w:rsid w:val="00111CCE"/>
    <w:rsid w:val="00121809"/>
    <w:rsid w:val="00121C96"/>
    <w:rsid w:val="00126E25"/>
    <w:rsid w:val="00130E18"/>
    <w:rsid w:val="00134545"/>
    <w:rsid w:val="00144CCD"/>
    <w:rsid w:val="00144FFE"/>
    <w:rsid w:val="00147EED"/>
    <w:rsid w:val="0015424D"/>
    <w:rsid w:val="0015544D"/>
    <w:rsid w:val="00155C43"/>
    <w:rsid w:val="00160F09"/>
    <w:rsid w:val="00171F8D"/>
    <w:rsid w:val="00172819"/>
    <w:rsid w:val="00175B20"/>
    <w:rsid w:val="00176173"/>
    <w:rsid w:val="00190731"/>
    <w:rsid w:val="00192301"/>
    <w:rsid w:val="001931F5"/>
    <w:rsid w:val="00194C99"/>
    <w:rsid w:val="0019613A"/>
    <w:rsid w:val="001A2BD5"/>
    <w:rsid w:val="001A3EED"/>
    <w:rsid w:val="001A56AE"/>
    <w:rsid w:val="001B0BC5"/>
    <w:rsid w:val="001B36DE"/>
    <w:rsid w:val="001C1B06"/>
    <w:rsid w:val="001C3240"/>
    <w:rsid w:val="001C7FBC"/>
    <w:rsid w:val="001D3CAC"/>
    <w:rsid w:val="001D73B2"/>
    <w:rsid w:val="001D7A94"/>
    <w:rsid w:val="001E5033"/>
    <w:rsid w:val="001E6474"/>
    <w:rsid w:val="001F422A"/>
    <w:rsid w:val="001F5975"/>
    <w:rsid w:val="001F5D77"/>
    <w:rsid w:val="001F66D7"/>
    <w:rsid w:val="002063D3"/>
    <w:rsid w:val="00210BBF"/>
    <w:rsid w:val="00212C53"/>
    <w:rsid w:val="002151D9"/>
    <w:rsid w:val="00216806"/>
    <w:rsid w:val="00216ED3"/>
    <w:rsid w:val="002238A7"/>
    <w:rsid w:val="002344A1"/>
    <w:rsid w:val="00235508"/>
    <w:rsid w:val="002413BD"/>
    <w:rsid w:val="002430C0"/>
    <w:rsid w:val="00244145"/>
    <w:rsid w:val="00245084"/>
    <w:rsid w:val="0025236A"/>
    <w:rsid w:val="00252C56"/>
    <w:rsid w:val="00252F8D"/>
    <w:rsid w:val="002538D4"/>
    <w:rsid w:val="00255A3F"/>
    <w:rsid w:val="00261873"/>
    <w:rsid w:val="002618AD"/>
    <w:rsid w:val="00262047"/>
    <w:rsid w:val="002629BC"/>
    <w:rsid w:val="00264371"/>
    <w:rsid w:val="00267F39"/>
    <w:rsid w:val="00272653"/>
    <w:rsid w:val="00273546"/>
    <w:rsid w:val="0028366F"/>
    <w:rsid w:val="00284402"/>
    <w:rsid w:val="00285724"/>
    <w:rsid w:val="00290E0A"/>
    <w:rsid w:val="0029316A"/>
    <w:rsid w:val="00295A2A"/>
    <w:rsid w:val="002A18F7"/>
    <w:rsid w:val="002A48CE"/>
    <w:rsid w:val="002A5583"/>
    <w:rsid w:val="002B039C"/>
    <w:rsid w:val="002B0613"/>
    <w:rsid w:val="002B4D63"/>
    <w:rsid w:val="002B72BF"/>
    <w:rsid w:val="002C2D4D"/>
    <w:rsid w:val="002C5FAB"/>
    <w:rsid w:val="002C63CE"/>
    <w:rsid w:val="002D1276"/>
    <w:rsid w:val="002D614D"/>
    <w:rsid w:val="002E1DEA"/>
    <w:rsid w:val="002E3F44"/>
    <w:rsid w:val="002F2E32"/>
    <w:rsid w:val="002F5F54"/>
    <w:rsid w:val="002F6FF3"/>
    <w:rsid w:val="002F7651"/>
    <w:rsid w:val="003075EC"/>
    <w:rsid w:val="00307B15"/>
    <w:rsid w:val="00310E1F"/>
    <w:rsid w:val="0031394A"/>
    <w:rsid w:val="0031604F"/>
    <w:rsid w:val="00320BB3"/>
    <w:rsid w:val="00323545"/>
    <w:rsid w:val="003341C3"/>
    <w:rsid w:val="0033435F"/>
    <w:rsid w:val="0033546F"/>
    <w:rsid w:val="003413EE"/>
    <w:rsid w:val="003503E9"/>
    <w:rsid w:val="00350D5A"/>
    <w:rsid w:val="00351B8E"/>
    <w:rsid w:val="003521A9"/>
    <w:rsid w:val="00352E82"/>
    <w:rsid w:val="00353EC4"/>
    <w:rsid w:val="003550BC"/>
    <w:rsid w:val="00357A46"/>
    <w:rsid w:val="00377DC8"/>
    <w:rsid w:val="00380065"/>
    <w:rsid w:val="00383B6D"/>
    <w:rsid w:val="00387969"/>
    <w:rsid w:val="00397F1B"/>
    <w:rsid w:val="003A13E5"/>
    <w:rsid w:val="003A216B"/>
    <w:rsid w:val="003A3ACE"/>
    <w:rsid w:val="003A47C6"/>
    <w:rsid w:val="003B1BDB"/>
    <w:rsid w:val="003B30FE"/>
    <w:rsid w:val="003B38F2"/>
    <w:rsid w:val="003B3D2F"/>
    <w:rsid w:val="003B445B"/>
    <w:rsid w:val="003B7991"/>
    <w:rsid w:val="003B7D28"/>
    <w:rsid w:val="003C4CDA"/>
    <w:rsid w:val="003C6F29"/>
    <w:rsid w:val="003C7C7D"/>
    <w:rsid w:val="003D546F"/>
    <w:rsid w:val="003D6FD2"/>
    <w:rsid w:val="003E0E4B"/>
    <w:rsid w:val="003E5C00"/>
    <w:rsid w:val="003E763B"/>
    <w:rsid w:val="003F17B5"/>
    <w:rsid w:val="003F1F3C"/>
    <w:rsid w:val="00403F7B"/>
    <w:rsid w:val="00404317"/>
    <w:rsid w:val="00404559"/>
    <w:rsid w:val="0040505F"/>
    <w:rsid w:val="00405BD8"/>
    <w:rsid w:val="004062B7"/>
    <w:rsid w:val="00412B22"/>
    <w:rsid w:val="00413E76"/>
    <w:rsid w:val="00414E9E"/>
    <w:rsid w:val="00415128"/>
    <w:rsid w:val="004154C1"/>
    <w:rsid w:val="00417A49"/>
    <w:rsid w:val="00423F68"/>
    <w:rsid w:val="004247B6"/>
    <w:rsid w:val="00430939"/>
    <w:rsid w:val="00437325"/>
    <w:rsid w:val="00441644"/>
    <w:rsid w:val="00442D05"/>
    <w:rsid w:val="004435E0"/>
    <w:rsid w:val="004447B5"/>
    <w:rsid w:val="00445FEB"/>
    <w:rsid w:val="00446225"/>
    <w:rsid w:val="0045290D"/>
    <w:rsid w:val="00465EFA"/>
    <w:rsid w:val="00471319"/>
    <w:rsid w:val="004727D4"/>
    <w:rsid w:val="00473609"/>
    <w:rsid w:val="0047406E"/>
    <w:rsid w:val="00474592"/>
    <w:rsid w:val="004747D9"/>
    <w:rsid w:val="004767E9"/>
    <w:rsid w:val="00481EEA"/>
    <w:rsid w:val="00487BA1"/>
    <w:rsid w:val="00490070"/>
    <w:rsid w:val="00491C42"/>
    <w:rsid w:val="004B19DC"/>
    <w:rsid w:val="004B410E"/>
    <w:rsid w:val="004B4C29"/>
    <w:rsid w:val="004B6142"/>
    <w:rsid w:val="004B7534"/>
    <w:rsid w:val="004B7ADF"/>
    <w:rsid w:val="004C3D97"/>
    <w:rsid w:val="004C4266"/>
    <w:rsid w:val="004C79D3"/>
    <w:rsid w:val="004D1EC3"/>
    <w:rsid w:val="004D1FEB"/>
    <w:rsid w:val="004D4A2C"/>
    <w:rsid w:val="004D4D19"/>
    <w:rsid w:val="004D6190"/>
    <w:rsid w:val="004D67CF"/>
    <w:rsid w:val="004E1371"/>
    <w:rsid w:val="004E218D"/>
    <w:rsid w:val="004E2DA7"/>
    <w:rsid w:val="0050375F"/>
    <w:rsid w:val="00504E42"/>
    <w:rsid w:val="00507586"/>
    <w:rsid w:val="0051370C"/>
    <w:rsid w:val="00513A46"/>
    <w:rsid w:val="0051419E"/>
    <w:rsid w:val="005173F5"/>
    <w:rsid w:val="00520443"/>
    <w:rsid w:val="005211A9"/>
    <w:rsid w:val="00521E39"/>
    <w:rsid w:val="00525072"/>
    <w:rsid w:val="005278EC"/>
    <w:rsid w:val="00527AC0"/>
    <w:rsid w:val="00530859"/>
    <w:rsid w:val="005311E3"/>
    <w:rsid w:val="005344B4"/>
    <w:rsid w:val="00540F91"/>
    <w:rsid w:val="00547E78"/>
    <w:rsid w:val="0055112B"/>
    <w:rsid w:val="005577E6"/>
    <w:rsid w:val="00557CCB"/>
    <w:rsid w:val="0056531F"/>
    <w:rsid w:val="00570C30"/>
    <w:rsid w:val="00571854"/>
    <w:rsid w:val="005737FF"/>
    <w:rsid w:val="0057449E"/>
    <w:rsid w:val="00583765"/>
    <w:rsid w:val="0058677C"/>
    <w:rsid w:val="005871C3"/>
    <w:rsid w:val="00587354"/>
    <w:rsid w:val="00592976"/>
    <w:rsid w:val="00594065"/>
    <w:rsid w:val="005968D0"/>
    <w:rsid w:val="005A25B4"/>
    <w:rsid w:val="005A6B3C"/>
    <w:rsid w:val="005A76DA"/>
    <w:rsid w:val="005B1A91"/>
    <w:rsid w:val="005B38DB"/>
    <w:rsid w:val="005B4745"/>
    <w:rsid w:val="005B4802"/>
    <w:rsid w:val="005B5DCA"/>
    <w:rsid w:val="005C0BA4"/>
    <w:rsid w:val="005C2C38"/>
    <w:rsid w:val="005D2531"/>
    <w:rsid w:val="005D7F31"/>
    <w:rsid w:val="005E6902"/>
    <w:rsid w:val="005E76C9"/>
    <w:rsid w:val="005F098B"/>
    <w:rsid w:val="00605661"/>
    <w:rsid w:val="00606927"/>
    <w:rsid w:val="00613151"/>
    <w:rsid w:val="0061334C"/>
    <w:rsid w:val="00613711"/>
    <w:rsid w:val="006151EE"/>
    <w:rsid w:val="00615209"/>
    <w:rsid w:val="00616300"/>
    <w:rsid w:val="00616F9F"/>
    <w:rsid w:val="00623401"/>
    <w:rsid w:val="0063039C"/>
    <w:rsid w:val="0063306F"/>
    <w:rsid w:val="00635930"/>
    <w:rsid w:val="00636651"/>
    <w:rsid w:val="00637672"/>
    <w:rsid w:val="00644DA7"/>
    <w:rsid w:val="00647B4A"/>
    <w:rsid w:val="00651577"/>
    <w:rsid w:val="00657D87"/>
    <w:rsid w:val="006616C3"/>
    <w:rsid w:val="00670368"/>
    <w:rsid w:val="006761FB"/>
    <w:rsid w:val="00677E13"/>
    <w:rsid w:val="006806C7"/>
    <w:rsid w:val="006866BD"/>
    <w:rsid w:val="00691453"/>
    <w:rsid w:val="006A068B"/>
    <w:rsid w:val="006A57C9"/>
    <w:rsid w:val="006B273C"/>
    <w:rsid w:val="006B3303"/>
    <w:rsid w:val="006C3672"/>
    <w:rsid w:val="006C389C"/>
    <w:rsid w:val="006C5480"/>
    <w:rsid w:val="006D2AA2"/>
    <w:rsid w:val="006D6896"/>
    <w:rsid w:val="006D7B26"/>
    <w:rsid w:val="006E0215"/>
    <w:rsid w:val="006E0748"/>
    <w:rsid w:val="006E7C39"/>
    <w:rsid w:val="006F16AE"/>
    <w:rsid w:val="006F3D62"/>
    <w:rsid w:val="006F629D"/>
    <w:rsid w:val="00701981"/>
    <w:rsid w:val="00703152"/>
    <w:rsid w:val="00706E20"/>
    <w:rsid w:val="0070740D"/>
    <w:rsid w:val="00712433"/>
    <w:rsid w:val="0072217E"/>
    <w:rsid w:val="00725933"/>
    <w:rsid w:val="00740413"/>
    <w:rsid w:val="00746C4E"/>
    <w:rsid w:val="00747FCE"/>
    <w:rsid w:val="00755C03"/>
    <w:rsid w:val="007605CA"/>
    <w:rsid w:val="00761E60"/>
    <w:rsid w:val="00763184"/>
    <w:rsid w:val="00767F3B"/>
    <w:rsid w:val="00772B5D"/>
    <w:rsid w:val="00772E88"/>
    <w:rsid w:val="00773C28"/>
    <w:rsid w:val="00774659"/>
    <w:rsid w:val="00781ED6"/>
    <w:rsid w:val="0078217A"/>
    <w:rsid w:val="007845D4"/>
    <w:rsid w:val="00784659"/>
    <w:rsid w:val="0078627E"/>
    <w:rsid w:val="00786512"/>
    <w:rsid w:val="00786B8A"/>
    <w:rsid w:val="007924BD"/>
    <w:rsid w:val="007A015C"/>
    <w:rsid w:val="007A1208"/>
    <w:rsid w:val="007A15D0"/>
    <w:rsid w:val="007A20CE"/>
    <w:rsid w:val="007B3213"/>
    <w:rsid w:val="007B7DEE"/>
    <w:rsid w:val="007C0AF2"/>
    <w:rsid w:val="007C0D5B"/>
    <w:rsid w:val="007C44ED"/>
    <w:rsid w:val="007C66A3"/>
    <w:rsid w:val="007D2024"/>
    <w:rsid w:val="007D3743"/>
    <w:rsid w:val="007D49B2"/>
    <w:rsid w:val="007E23E8"/>
    <w:rsid w:val="007E3530"/>
    <w:rsid w:val="007E7B5F"/>
    <w:rsid w:val="007F15D4"/>
    <w:rsid w:val="007F2F21"/>
    <w:rsid w:val="00801CBF"/>
    <w:rsid w:val="00804E0D"/>
    <w:rsid w:val="00812635"/>
    <w:rsid w:val="00821F3B"/>
    <w:rsid w:val="00822168"/>
    <w:rsid w:val="008224C8"/>
    <w:rsid w:val="00827A2B"/>
    <w:rsid w:val="00833F18"/>
    <w:rsid w:val="0083665D"/>
    <w:rsid w:val="00841DCE"/>
    <w:rsid w:val="0084494C"/>
    <w:rsid w:val="008564ED"/>
    <w:rsid w:val="00856F2A"/>
    <w:rsid w:val="00857BC3"/>
    <w:rsid w:val="00861895"/>
    <w:rsid w:val="008622BE"/>
    <w:rsid w:val="00863435"/>
    <w:rsid w:val="00863A80"/>
    <w:rsid w:val="00864A79"/>
    <w:rsid w:val="008804EB"/>
    <w:rsid w:val="008849CB"/>
    <w:rsid w:val="00887CF7"/>
    <w:rsid w:val="00890CBA"/>
    <w:rsid w:val="0089350D"/>
    <w:rsid w:val="00895AE2"/>
    <w:rsid w:val="008A5274"/>
    <w:rsid w:val="008C2A46"/>
    <w:rsid w:val="008D1A57"/>
    <w:rsid w:val="008D26D5"/>
    <w:rsid w:val="008D47A9"/>
    <w:rsid w:val="008E2D8C"/>
    <w:rsid w:val="008E616E"/>
    <w:rsid w:val="008E6533"/>
    <w:rsid w:val="008E6563"/>
    <w:rsid w:val="008E7912"/>
    <w:rsid w:val="008E7ABB"/>
    <w:rsid w:val="008E7F5C"/>
    <w:rsid w:val="008F040C"/>
    <w:rsid w:val="008F3647"/>
    <w:rsid w:val="008F5DF6"/>
    <w:rsid w:val="00900CFA"/>
    <w:rsid w:val="0090190A"/>
    <w:rsid w:val="009058B9"/>
    <w:rsid w:val="0090655B"/>
    <w:rsid w:val="0090696D"/>
    <w:rsid w:val="0091011F"/>
    <w:rsid w:val="009129A5"/>
    <w:rsid w:val="00912DAA"/>
    <w:rsid w:val="00931A2C"/>
    <w:rsid w:val="0093353F"/>
    <w:rsid w:val="00936C46"/>
    <w:rsid w:val="00936ECF"/>
    <w:rsid w:val="00937566"/>
    <w:rsid w:val="0093774D"/>
    <w:rsid w:val="00941D35"/>
    <w:rsid w:val="009437AB"/>
    <w:rsid w:val="009443A8"/>
    <w:rsid w:val="00952DD2"/>
    <w:rsid w:val="009556A9"/>
    <w:rsid w:val="00966328"/>
    <w:rsid w:val="00976D4E"/>
    <w:rsid w:val="00981249"/>
    <w:rsid w:val="00987BA3"/>
    <w:rsid w:val="00987CD4"/>
    <w:rsid w:val="00991D6D"/>
    <w:rsid w:val="0099480A"/>
    <w:rsid w:val="009A32DE"/>
    <w:rsid w:val="009A3D58"/>
    <w:rsid w:val="009B689A"/>
    <w:rsid w:val="009C3E57"/>
    <w:rsid w:val="009C6180"/>
    <w:rsid w:val="009C7854"/>
    <w:rsid w:val="009D3EC0"/>
    <w:rsid w:val="009D5BD3"/>
    <w:rsid w:val="009E0121"/>
    <w:rsid w:val="009E1036"/>
    <w:rsid w:val="009E1FDD"/>
    <w:rsid w:val="009E256E"/>
    <w:rsid w:val="009F214F"/>
    <w:rsid w:val="009F3506"/>
    <w:rsid w:val="009F55EE"/>
    <w:rsid w:val="00A0323D"/>
    <w:rsid w:val="00A06540"/>
    <w:rsid w:val="00A1006C"/>
    <w:rsid w:val="00A10554"/>
    <w:rsid w:val="00A20198"/>
    <w:rsid w:val="00A32857"/>
    <w:rsid w:val="00A3638E"/>
    <w:rsid w:val="00A36D69"/>
    <w:rsid w:val="00A4379F"/>
    <w:rsid w:val="00A44B3F"/>
    <w:rsid w:val="00A4746D"/>
    <w:rsid w:val="00A47C1D"/>
    <w:rsid w:val="00A514B4"/>
    <w:rsid w:val="00A549F6"/>
    <w:rsid w:val="00A551C5"/>
    <w:rsid w:val="00A62671"/>
    <w:rsid w:val="00A643FB"/>
    <w:rsid w:val="00A6502A"/>
    <w:rsid w:val="00A67464"/>
    <w:rsid w:val="00A73803"/>
    <w:rsid w:val="00A75A29"/>
    <w:rsid w:val="00A7722C"/>
    <w:rsid w:val="00A81D88"/>
    <w:rsid w:val="00A81F39"/>
    <w:rsid w:val="00A82090"/>
    <w:rsid w:val="00A90A94"/>
    <w:rsid w:val="00A96B63"/>
    <w:rsid w:val="00A9766C"/>
    <w:rsid w:val="00AA4B46"/>
    <w:rsid w:val="00AA658E"/>
    <w:rsid w:val="00AB7E39"/>
    <w:rsid w:val="00AC05EB"/>
    <w:rsid w:val="00AC162D"/>
    <w:rsid w:val="00AC1F6D"/>
    <w:rsid w:val="00AD4CFB"/>
    <w:rsid w:val="00AE47AB"/>
    <w:rsid w:val="00AE7957"/>
    <w:rsid w:val="00AF5097"/>
    <w:rsid w:val="00B02A7A"/>
    <w:rsid w:val="00B0405F"/>
    <w:rsid w:val="00B12C78"/>
    <w:rsid w:val="00B12D86"/>
    <w:rsid w:val="00B14CF0"/>
    <w:rsid w:val="00B20100"/>
    <w:rsid w:val="00B2282C"/>
    <w:rsid w:val="00B22844"/>
    <w:rsid w:val="00B24E6F"/>
    <w:rsid w:val="00B2642B"/>
    <w:rsid w:val="00B308F5"/>
    <w:rsid w:val="00B315E7"/>
    <w:rsid w:val="00B31819"/>
    <w:rsid w:val="00B40450"/>
    <w:rsid w:val="00B40C23"/>
    <w:rsid w:val="00B41229"/>
    <w:rsid w:val="00B43766"/>
    <w:rsid w:val="00B456C9"/>
    <w:rsid w:val="00B472CF"/>
    <w:rsid w:val="00B507A0"/>
    <w:rsid w:val="00B50CEE"/>
    <w:rsid w:val="00B61FEE"/>
    <w:rsid w:val="00B633ED"/>
    <w:rsid w:val="00B64426"/>
    <w:rsid w:val="00B72E78"/>
    <w:rsid w:val="00B746C9"/>
    <w:rsid w:val="00B74726"/>
    <w:rsid w:val="00B97F47"/>
    <w:rsid w:val="00BA080D"/>
    <w:rsid w:val="00BA5877"/>
    <w:rsid w:val="00BB0252"/>
    <w:rsid w:val="00BB0849"/>
    <w:rsid w:val="00BC2241"/>
    <w:rsid w:val="00BC4A3A"/>
    <w:rsid w:val="00BC6E20"/>
    <w:rsid w:val="00BD0834"/>
    <w:rsid w:val="00BD0836"/>
    <w:rsid w:val="00BD1F34"/>
    <w:rsid w:val="00BD3A8E"/>
    <w:rsid w:val="00BD5357"/>
    <w:rsid w:val="00BE0846"/>
    <w:rsid w:val="00BE312A"/>
    <w:rsid w:val="00BE6B7E"/>
    <w:rsid w:val="00BF7890"/>
    <w:rsid w:val="00BF7DBA"/>
    <w:rsid w:val="00C00A8E"/>
    <w:rsid w:val="00C11BCA"/>
    <w:rsid w:val="00C135FD"/>
    <w:rsid w:val="00C150D1"/>
    <w:rsid w:val="00C157CF"/>
    <w:rsid w:val="00C163C1"/>
    <w:rsid w:val="00C23E2A"/>
    <w:rsid w:val="00C25E54"/>
    <w:rsid w:val="00C27934"/>
    <w:rsid w:val="00C30E68"/>
    <w:rsid w:val="00C34162"/>
    <w:rsid w:val="00C34244"/>
    <w:rsid w:val="00C35983"/>
    <w:rsid w:val="00C37E70"/>
    <w:rsid w:val="00C46D3E"/>
    <w:rsid w:val="00C46F84"/>
    <w:rsid w:val="00C47598"/>
    <w:rsid w:val="00C50673"/>
    <w:rsid w:val="00C50B5F"/>
    <w:rsid w:val="00C52685"/>
    <w:rsid w:val="00C57FB4"/>
    <w:rsid w:val="00C7032B"/>
    <w:rsid w:val="00C83483"/>
    <w:rsid w:val="00C90E49"/>
    <w:rsid w:val="00C91CD3"/>
    <w:rsid w:val="00C9203A"/>
    <w:rsid w:val="00C947B6"/>
    <w:rsid w:val="00C9671F"/>
    <w:rsid w:val="00C96F42"/>
    <w:rsid w:val="00CA05A4"/>
    <w:rsid w:val="00CA2D63"/>
    <w:rsid w:val="00CB22B7"/>
    <w:rsid w:val="00CB486F"/>
    <w:rsid w:val="00CB6D94"/>
    <w:rsid w:val="00CC79EB"/>
    <w:rsid w:val="00CD13EA"/>
    <w:rsid w:val="00CD2CCE"/>
    <w:rsid w:val="00CD3402"/>
    <w:rsid w:val="00CD3753"/>
    <w:rsid w:val="00CF0939"/>
    <w:rsid w:val="00CF369E"/>
    <w:rsid w:val="00CF3C1B"/>
    <w:rsid w:val="00CF6B0E"/>
    <w:rsid w:val="00CF74D4"/>
    <w:rsid w:val="00D01DDB"/>
    <w:rsid w:val="00D05C2F"/>
    <w:rsid w:val="00D12469"/>
    <w:rsid w:val="00D239E9"/>
    <w:rsid w:val="00D262F8"/>
    <w:rsid w:val="00D2634B"/>
    <w:rsid w:val="00D26390"/>
    <w:rsid w:val="00D313FF"/>
    <w:rsid w:val="00D31F49"/>
    <w:rsid w:val="00D325E2"/>
    <w:rsid w:val="00D45785"/>
    <w:rsid w:val="00D47249"/>
    <w:rsid w:val="00D53AF3"/>
    <w:rsid w:val="00D55D11"/>
    <w:rsid w:val="00D56EDF"/>
    <w:rsid w:val="00D607E8"/>
    <w:rsid w:val="00D6493D"/>
    <w:rsid w:val="00D64F7E"/>
    <w:rsid w:val="00D734DA"/>
    <w:rsid w:val="00D7474F"/>
    <w:rsid w:val="00D752B8"/>
    <w:rsid w:val="00D80F23"/>
    <w:rsid w:val="00D81C15"/>
    <w:rsid w:val="00D8506E"/>
    <w:rsid w:val="00D8681A"/>
    <w:rsid w:val="00D86F1C"/>
    <w:rsid w:val="00D90DDF"/>
    <w:rsid w:val="00D9147E"/>
    <w:rsid w:val="00D920F2"/>
    <w:rsid w:val="00DA0C35"/>
    <w:rsid w:val="00DA1F3E"/>
    <w:rsid w:val="00DA2373"/>
    <w:rsid w:val="00DB24E2"/>
    <w:rsid w:val="00DB2BDF"/>
    <w:rsid w:val="00DB5D2D"/>
    <w:rsid w:val="00DC0ED5"/>
    <w:rsid w:val="00DC449A"/>
    <w:rsid w:val="00DC7819"/>
    <w:rsid w:val="00DD164F"/>
    <w:rsid w:val="00DD2E68"/>
    <w:rsid w:val="00DD2EBC"/>
    <w:rsid w:val="00DE1887"/>
    <w:rsid w:val="00DE496D"/>
    <w:rsid w:val="00DE6E7C"/>
    <w:rsid w:val="00DE7F55"/>
    <w:rsid w:val="00DF0C3F"/>
    <w:rsid w:val="00DF1AF5"/>
    <w:rsid w:val="00DF3BD5"/>
    <w:rsid w:val="00DF7DBD"/>
    <w:rsid w:val="00E04976"/>
    <w:rsid w:val="00E104CF"/>
    <w:rsid w:val="00E133CC"/>
    <w:rsid w:val="00E178D9"/>
    <w:rsid w:val="00E17E70"/>
    <w:rsid w:val="00E21528"/>
    <w:rsid w:val="00E25F5F"/>
    <w:rsid w:val="00E27C80"/>
    <w:rsid w:val="00E31E46"/>
    <w:rsid w:val="00E3397C"/>
    <w:rsid w:val="00E34BCB"/>
    <w:rsid w:val="00E355CB"/>
    <w:rsid w:val="00E41EC7"/>
    <w:rsid w:val="00E45B56"/>
    <w:rsid w:val="00E47011"/>
    <w:rsid w:val="00E50D91"/>
    <w:rsid w:val="00E570D0"/>
    <w:rsid w:val="00E6652A"/>
    <w:rsid w:val="00E705D0"/>
    <w:rsid w:val="00E73410"/>
    <w:rsid w:val="00E81F30"/>
    <w:rsid w:val="00E869AB"/>
    <w:rsid w:val="00E87E51"/>
    <w:rsid w:val="00E910B3"/>
    <w:rsid w:val="00E954BB"/>
    <w:rsid w:val="00EA4DF1"/>
    <w:rsid w:val="00EA541E"/>
    <w:rsid w:val="00EA6325"/>
    <w:rsid w:val="00EA6F94"/>
    <w:rsid w:val="00EB1D11"/>
    <w:rsid w:val="00EB52A8"/>
    <w:rsid w:val="00EC13B6"/>
    <w:rsid w:val="00ED1F37"/>
    <w:rsid w:val="00ED2B18"/>
    <w:rsid w:val="00ED484C"/>
    <w:rsid w:val="00EE5E78"/>
    <w:rsid w:val="00EE6C84"/>
    <w:rsid w:val="00EF7A21"/>
    <w:rsid w:val="00F00F06"/>
    <w:rsid w:val="00F030D2"/>
    <w:rsid w:val="00F05817"/>
    <w:rsid w:val="00F058BE"/>
    <w:rsid w:val="00F13EAE"/>
    <w:rsid w:val="00F24CA0"/>
    <w:rsid w:val="00F25576"/>
    <w:rsid w:val="00F30150"/>
    <w:rsid w:val="00F30DAB"/>
    <w:rsid w:val="00F33880"/>
    <w:rsid w:val="00F3390E"/>
    <w:rsid w:val="00F347D4"/>
    <w:rsid w:val="00F37FD7"/>
    <w:rsid w:val="00F40DD8"/>
    <w:rsid w:val="00F410FA"/>
    <w:rsid w:val="00F4176D"/>
    <w:rsid w:val="00F42233"/>
    <w:rsid w:val="00F4412B"/>
    <w:rsid w:val="00F44FA5"/>
    <w:rsid w:val="00F456AC"/>
    <w:rsid w:val="00F50D99"/>
    <w:rsid w:val="00F51AF5"/>
    <w:rsid w:val="00F56099"/>
    <w:rsid w:val="00F56C53"/>
    <w:rsid w:val="00F66688"/>
    <w:rsid w:val="00F77DD6"/>
    <w:rsid w:val="00F813F6"/>
    <w:rsid w:val="00F91B95"/>
    <w:rsid w:val="00F91C7A"/>
    <w:rsid w:val="00FA1E60"/>
    <w:rsid w:val="00FA3992"/>
    <w:rsid w:val="00FA4D64"/>
    <w:rsid w:val="00FB249D"/>
    <w:rsid w:val="00FB2540"/>
    <w:rsid w:val="00FB2C4D"/>
    <w:rsid w:val="00FB6B82"/>
    <w:rsid w:val="00FC292C"/>
    <w:rsid w:val="00FC5B95"/>
    <w:rsid w:val="00FD1B2D"/>
    <w:rsid w:val="00FD552E"/>
    <w:rsid w:val="00FE089D"/>
    <w:rsid w:val="00FE2201"/>
    <w:rsid w:val="00FE3D30"/>
    <w:rsid w:val="00FE51FF"/>
    <w:rsid w:val="00FE6364"/>
    <w:rsid w:val="00FF07E1"/>
    <w:rsid w:val="00FF4EB0"/>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 w:type="character" w:styleId="Hipervnculovisitado">
    <w:name w:val="FollowedHyperlink"/>
    <w:basedOn w:val="Fuentedeprrafopredeter"/>
    <w:uiPriority w:val="99"/>
    <w:semiHidden/>
    <w:unhideWhenUsed/>
    <w:rsid w:val="0031394A"/>
    <w:rPr>
      <w:color w:val="800080"/>
      <w:u w:val="single"/>
    </w:rPr>
  </w:style>
  <w:style w:type="paragraph" w:customStyle="1" w:styleId="font5">
    <w:name w:val="font5"/>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6">
    <w:name w:val="font6"/>
    <w:basedOn w:val="Normal"/>
    <w:rsid w:val="0031394A"/>
    <w:pPr>
      <w:spacing w:before="100" w:beforeAutospacing="1" w:after="100" w:afterAutospacing="1" w:line="240" w:lineRule="auto"/>
    </w:pPr>
    <w:rPr>
      <w:rFonts w:ascii="Arial" w:eastAsia="Times New Roman" w:hAnsi="Arial" w:cs="Arial"/>
      <w:sz w:val="27"/>
      <w:szCs w:val="27"/>
      <w:lang w:eastAsia="es-ES"/>
    </w:rPr>
  </w:style>
  <w:style w:type="paragraph" w:customStyle="1" w:styleId="font7">
    <w:name w:val="font7"/>
    <w:basedOn w:val="Normal"/>
    <w:rsid w:val="0031394A"/>
    <w:pPr>
      <w:spacing w:before="100" w:beforeAutospacing="1" w:after="100" w:afterAutospacing="1" w:line="240" w:lineRule="auto"/>
    </w:pPr>
    <w:rPr>
      <w:rFonts w:ascii="Arial" w:eastAsia="Times New Roman" w:hAnsi="Arial" w:cs="Arial"/>
      <w:color w:val="FF0000"/>
      <w:sz w:val="20"/>
      <w:szCs w:val="20"/>
      <w:lang w:eastAsia="es-ES"/>
    </w:rPr>
  </w:style>
  <w:style w:type="paragraph" w:customStyle="1" w:styleId="font8">
    <w:name w:val="font8"/>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9">
    <w:name w:val="font9"/>
    <w:basedOn w:val="Normal"/>
    <w:rsid w:val="0031394A"/>
    <w:pPr>
      <w:spacing w:before="100" w:beforeAutospacing="1" w:after="100" w:afterAutospacing="1" w:line="240" w:lineRule="auto"/>
    </w:pPr>
    <w:rPr>
      <w:rFonts w:ascii="Arial" w:eastAsia="Times New Roman" w:hAnsi="Arial" w:cs="Arial"/>
      <w:lang w:eastAsia="es-ES"/>
    </w:rPr>
  </w:style>
  <w:style w:type="paragraph" w:customStyle="1" w:styleId="xl64">
    <w:name w:val="xl6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5">
    <w:name w:val="xl65"/>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6">
    <w:name w:val="xl66"/>
    <w:basedOn w:val="Normal"/>
    <w:rsid w:val="0031394A"/>
    <w:pPr>
      <w:spacing w:before="100" w:beforeAutospacing="1" w:after="100" w:afterAutospacing="1" w:line="240" w:lineRule="auto"/>
      <w:textAlignment w:val="center"/>
    </w:pPr>
    <w:rPr>
      <w:rFonts w:ascii="MS Sans Serif" w:eastAsia="Times New Roman" w:hAnsi="MS Sans Serif" w:cs="Times New Roman"/>
      <w:b/>
      <w:bCs/>
      <w:sz w:val="24"/>
      <w:szCs w:val="24"/>
      <w:lang w:eastAsia="es-ES"/>
    </w:rPr>
  </w:style>
  <w:style w:type="paragraph" w:customStyle="1" w:styleId="xl67">
    <w:name w:val="xl67"/>
    <w:basedOn w:val="Normal"/>
    <w:rsid w:val="00313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8">
    <w:name w:val="xl68"/>
    <w:basedOn w:val="Normal"/>
    <w:rsid w:val="00313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MS Sans Serif" w:eastAsia="Times New Roman" w:hAnsi="MS Sans Serif" w:cs="Times New Roman"/>
      <w:b/>
      <w:bCs/>
      <w:sz w:val="24"/>
      <w:szCs w:val="24"/>
      <w:lang w:eastAsia="es-ES"/>
    </w:rPr>
  </w:style>
  <w:style w:type="paragraph" w:customStyle="1" w:styleId="xl69">
    <w:name w:val="xl69"/>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color w:val="FF0000"/>
      <w:sz w:val="24"/>
      <w:szCs w:val="24"/>
      <w:lang w:eastAsia="es-ES"/>
    </w:rPr>
  </w:style>
  <w:style w:type="paragraph" w:customStyle="1" w:styleId="xl70">
    <w:name w:val="xl70"/>
    <w:basedOn w:val="Normal"/>
    <w:rsid w:val="0031394A"/>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1">
    <w:name w:val="xl71"/>
    <w:basedOn w:val="Normal"/>
    <w:rsid w:val="00313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2">
    <w:name w:val="xl72"/>
    <w:basedOn w:val="Normal"/>
    <w:rsid w:val="0031394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3">
    <w:name w:val="xl73"/>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S Sans Serif" w:eastAsia="Times New Roman" w:hAnsi="MS Sans Serif" w:cs="Times New Roman"/>
      <w:sz w:val="24"/>
      <w:szCs w:val="24"/>
      <w:lang w:eastAsia="es-ES"/>
    </w:rPr>
  </w:style>
  <w:style w:type="paragraph" w:customStyle="1" w:styleId="xl74">
    <w:name w:val="xl7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5">
    <w:name w:val="xl75"/>
    <w:basedOn w:val="Normal"/>
    <w:rsid w:val="0031394A"/>
    <w:pPr>
      <w:pBdr>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6">
    <w:name w:val="xl76"/>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7">
    <w:name w:val="xl77"/>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8">
    <w:name w:val="xl78"/>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9">
    <w:name w:val="xl79"/>
    <w:basedOn w:val="Normal"/>
    <w:rsid w:val="00313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0">
    <w:name w:val="xl80"/>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1">
    <w:name w:val="xl81"/>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2">
    <w:name w:val="xl82"/>
    <w:basedOn w:val="Normal"/>
    <w:rsid w:val="0031394A"/>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3">
    <w:name w:val="xl83"/>
    <w:basedOn w:val="Normal"/>
    <w:rsid w:val="0031394A"/>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table" w:customStyle="1" w:styleId="Tablaconcuadrcula1">
    <w:name w:val="Tabla con cuadrícula1"/>
    <w:basedOn w:val="Tablanormal"/>
    <w:next w:val="Tablaconcuadrcula"/>
    <w:uiPriority w:val="59"/>
    <w:rsid w:val="004745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 w:type="character" w:styleId="Hipervnculovisitado">
    <w:name w:val="FollowedHyperlink"/>
    <w:basedOn w:val="Fuentedeprrafopredeter"/>
    <w:uiPriority w:val="99"/>
    <w:semiHidden/>
    <w:unhideWhenUsed/>
    <w:rsid w:val="0031394A"/>
    <w:rPr>
      <w:color w:val="800080"/>
      <w:u w:val="single"/>
    </w:rPr>
  </w:style>
  <w:style w:type="paragraph" w:customStyle="1" w:styleId="font5">
    <w:name w:val="font5"/>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6">
    <w:name w:val="font6"/>
    <w:basedOn w:val="Normal"/>
    <w:rsid w:val="0031394A"/>
    <w:pPr>
      <w:spacing w:before="100" w:beforeAutospacing="1" w:after="100" w:afterAutospacing="1" w:line="240" w:lineRule="auto"/>
    </w:pPr>
    <w:rPr>
      <w:rFonts w:ascii="Arial" w:eastAsia="Times New Roman" w:hAnsi="Arial" w:cs="Arial"/>
      <w:sz w:val="27"/>
      <w:szCs w:val="27"/>
      <w:lang w:eastAsia="es-ES"/>
    </w:rPr>
  </w:style>
  <w:style w:type="paragraph" w:customStyle="1" w:styleId="font7">
    <w:name w:val="font7"/>
    <w:basedOn w:val="Normal"/>
    <w:rsid w:val="0031394A"/>
    <w:pPr>
      <w:spacing w:before="100" w:beforeAutospacing="1" w:after="100" w:afterAutospacing="1" w:line="240" w:lineRule="auto"/>
    </w:pPr>
    <w:rPr>
      <w:rFonts w:ascii="Arial" w:eastAsia="Times New Roman" w:hAnsi="Arial" w:cs="Arial"/>
      <w:color w:val="FF0000"/>
      <w:sz w:val="20"/>
      <w:szCs w:val="20"/>
      <w:lang w:eastAsia="es-ES"/>
    </w:rPr>
  </w:style>
  <w:style w:type="paragraph" w:customStyle="1" w:styleId="font8">
    <w:name w:val="font8"/>
    <w:basedOn w:val="Normal"/>
    <w:rsid w:val="0031394A"/>
    <w:pPr>
      <w:spacing w:before="100" w:beforeAutospacing="1" w:after="100" w:afterAutospacing="1" w:line="240" w:lineRule="auto"/>
    </w:pPr>
    <w:rPr>
      <w:rFonts w:ascii="Arial" w:eastAsia="Times New Roman" w:hAnsi="Arial" w:cs="Arial"/>
      <w:sz w:val="20"/>
      <w:szCs w:val="20"/>
      <w:lang w:eastAsia="es-ES"/>
    </w:rPr>
  </w:style>
  <w:style w:type="paragraph" w:customStyle="1" w:styleId="font9">
    <w:name w:val="font9"/>
    <w:basedOn w:val="Normal"/>
    <w:rsid w:val="0031394A"/>
    <w:pPr>
      <w:spacing w:before="100" w:beforeAutospacing="1" w:after="100" w:afterAutospacing="1" w:line="240" w:lineRule="auto"/>
    </w:pPr>
    <w:rPr>
      <w:rFonts w:ascii="Arial" w:eastAsia="Times New Roman" w:hAnsi="Arial" w:cs="Arial"/>
      <w:lang w:eastAsia="es-ES"/>
    </w:rPr>
  </w:style>
  <w:style w:type="paragraph" w:customStyle="1" w:styleId="xl64">
    <w:name w:val="xl6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5">
    <w:name w:val="xl65"/>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6">
    <w:name w:val="xl66"/>
    <w:basedOn w:val="Normal"/>
    <w:rsid w:val="0031394A"/>
    <w:pPr>
      <w:spacing w:before="100" w:beforeAutospacing="1" w:after="100" w:afterAutospacing="1" w:line="240" w:lineRule="auto"/>
      <w:textAlignment w:val="center"/>
    </w:pPr>
    <w:rPr>
      <w:rFonts w:ascii="MS Sans Serif" w:eastAsia="Times New Roman" w:hAnsi="MS Sans Serif" w:cs="Times New Roman"/>
      <w:b/>
      <w:bCs/>
      <w:sz w:val="24"/>
      <w:szCs w:val="24"/>
      <w:lang w:eastAsia="es-ES"/>
    </w:rPr>
  </w:style>
  <w:style w:type="paragraph" w:customStyle="1" w:styleId="xl67">
    <w:name w:val="xl67"/>
    <w:basedOn w:val="Normal"/>
    <w:rsid w:val="003139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68">
    <w:name w:val="xl68"/>
    <w:basedOn w:val="Normal"/>
    <w:rsid w:val="00313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MS Sans Serif" w:eastAsia="Times New Roman" w:hAnsi="MS Sans Serif" w:cs="Times New Roman"/>
      <w:b/>
      <w:bCs/>
      <w:sz w:val="24"/>
      <w:szCs w:val="24"/>
      <w:lang w:eastAsia="es-ES"/>
    </w:rPr>
  </w:style>
  <w:style w:type="paragraph" w:customStyle="1" w:styleId="xl69">
    <w:name w:val="xl69"/>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color w:val="FF0000"/>
      <w:sz w:val="24"/>
      <w:szCs w:val="24"/>
      <w:lang w:eastAsia="es-ES"/>
    </w:rPr>
  </w:style>
  <w:style w:type="paragraph" w:customStyle="1" w:styleId="xl70">
    <w:name w:val="xl70"/>
    <w:basedOn w:val="Normal"/>
    <w:rsid w:val="0031394A"/>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1">
    <w:name w:val="xl71"/>
    <w:basedOn w:val="Normal"/>
    <w:rsid w:val="00313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2">
    <w:name w:val="xl72"/>
    <w:basedOn w:val="Normal"/>
    <w:rsid w:val="0031394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3">
    <w:name w:val="xl73"/>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S Sans Serif" w:eastAsia="Times New Roman" w:hAnsi="MS Sans Serif" w:cs="Times New Roman"/>
      <w:sz w:val="24"/>
      <w:szCs w:val="24"/>
      <w:lang w:eastAsia="es-ES"/>
    </w:rPr>
  </w:style>
  <w:style w:type="paragraph" w:customStyle="1" w:styleId="xl74">
    <w:name w:val="xl74"/>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5">
    <w:name w:val="xl75"/>
    <w:basedOn w:val="Normal"/>
    <w:rsid w:val="0031394A"/>
    <w:pPr>
      <w:pBdr>
        <w:left w:val="single" w:sz="4" w:space="0" w:color="auto"/>
        <w:bottom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6">
    <w:name w:val="xl76"/>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7">
    <w:name w:val="xl77"/>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8">
    <w:name w:val="xl78"/>
    <w:basedOn w:val="Normal"/>
    <w:rsid w:val="0031394A"/>
    <w:pP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79">
    <w:name w:val="xl79"/>
    <w:basedOn w:val="Normal"/>
    <w:rsid w:val="00313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0">
    <w:name w:val="xl80"/>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1">
    <w:name w:val="xl81"/>
    <w:basedOn w:val="Normal"/>
    <w:rsid w:val="00313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2">
    <w:name w:val="xl82"/>
    <w:basedOn w:val="Normal"/>
    <w:rsid w:val="0031394A"/>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paragraph" w:customStyle="1" w:styleId="xl83">
    <w:name w:val="xl83"/>
    <w:basedOn w:val="Normal"/>
    <w:rsid w:val="0031394A"/>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MS Sans Serif" w:eastAsia="Times New Roman" w:hAnsi="MS Sans Serif" w:cs="Times New Roman"/>
      <w:sz w:val="24"/>
      <w:szCs w:val="24"/>
      <w:lang w:eastAsia="es-ES"/>
    </w:rPr>
  </w:style>
  <w:style w:type="table" w:customStyle="1" w:styleId="Tablaconcuadrcula1">
    <w:name w:val="Tabla con cuadrícula1"/>
    <w:basedOn w:val="Tablanormal"/>
    <w:next w:val="Tablaconcuadrcula"/>
    <w:uiPriority w:val="59"/>
    <w:rsid w:val="004745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68">
      <w:bodyDiv w:val="1"/>
      <w:marLeft w:val="0"/>
      <w:marRight w:val="0"/>
      <w:marTop w:val="0"/>
      <w:marBottom w:val="0"/>
      <w:divBdr>
        <w:top w:val="none" w:sz="0" w:space="0" w:color="auto"/>
        <w:left w:val="none" w:sz="0" w:space="0" w:color="auto"/>
        <w:bottom w:val="none" w:sz="0" w:space="0" w:color="auto"/>
        <w:right w:val="none" w:sz="0" w:space="0" w:color="auto"/>
      </w:divBdr>
    </w:div>
    <w:div w:id="66348052">
      <w:bodyDiv w:val="1"/>
      <w:marLeft w:val="0"/>
      <w:marRight w:val="0"/>
      <w:marTop w:val="0"/>
      <w:marBottom w:val="0"/>
      <w:divBdr>
        <w:top w:val="none" w:sz="0" w:space="0" w:color="auto"/>
        <w:left w:val="none" w:sz="0" w:space="0" w:color="auto"/>
        <w:bottom w:val="none" w:sz="0" w:space="0" w:color="auto"/>
        <w:right w:val="none" w:sz="0" w:space="0" w:color="auto"/>
      </w:divBdr>
    </w:div>
    <w:div w:id="82191496">
      <w:bodyDiv w:val="1"/>
      <w:marLeft w:val="0"/>
      <w:marRight w:val="0"/>
      <w:marTop w:val="0"/>
      <w:marBottom w:val="0"/>
      <w:divBdr>
        <w:top w:val="none" w:sz="0" w:space="0" w:color="auto"/>
        <w:left w:val="none" w:sz="0" w:space="0" w:color="auto"/>
        <w:bottom w:val="none" w:sz="0" w:space="0" w:color="auto"/>
        <w:right w:val="none" w:sz="0" w:space="0" w:color="auto"/>
      </w:divBdr>
    </w:div>
    <w:div w:id="116149022">
      <w:bodyDiv w:val="1"/>
      <w:marLeft w:val="0"/>
      <w:marRight w:val="0"/>
      <w:marTop w:val="0"/>
      <w:marBottom w:val="0"/>
      <w:divBdr>
        <w:top w:val="none" w:sz="0" w:space="0" w:color="auto"/>
        <w:left w:val="none" w:sz="0" w:space="0" w:color="auto"/>
        <w:bottom w:val="none" w:sz="0" w:space="0" w:color="auto"/>
        <w:right w:val="none" w:sz="0" w:space="0" w:color="auto"/>
      </w:divBdr>
    </w:div>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225996885">
      <w:bodyDiv w:val="1"/>
      <w:marLeft w:val="0"/>
      <w:marRight w:val="0"/>
      <w:marTop w:val="0"/>
      <w:marBottom w:val="0"/>
      <w:divBdr>
        <w:top w:val="none" w:sz="0" w:space="0" w:color="auto"/>
        <w:left w:val="none" w:sz="0" w:space="0" w:color="auto"/>
        <w:bottom w:val="none" w:sz="0" w:space="0" w:color="auto"/>
        <w:right w:val="none" w:sz="0" w:space="0" w:color="auto"/>
      </w:divBdr>
    </w:div>
    <w:div w:id="229384271">
      <w:bodyDiv w:val="1"/>
      <w:marLeft w:val="0"/>
      <w:marRight w:val="0"/>
      <w:marTop w:val="0"/>
      <w:marBottom w:val="0"/>
      <w:divBdr>
        <w:top w:val="none" w:sz="0" w:space="0" w:color="auto"/>
        <w:left w:val="none" w:sz="0" w:space="0" w:color="auto"/>
        <w:bottom w:val="none" w:sz="0" w:space="0" w:color="auto"/>
        <w:right w:val="none" w:sz="0" w:space="0" w:color="auto"/>
      </w:divBdr>
    </w:div>
    <w:div w:id="269707703">
      <w:bodyDiv w:val="1"/>
      <w:marLeft w:val="0"/>
      <w:marRight w:val="0"/>
      <w:marTop w:val="0"/>
      <w:marBottom w:val="0"/>
      <w:divBdr>
        <w:top w:val="none" w:sz="0" w:space="0" w:color="auto"/>
        <w:left w:val="none" w:sz="0" w:space="0" w:color="auto"/>
        <w:bottom w:val="none" w:sz="0" w:space="0" w:color="auto"/>
        <w:right w:val="none" w:sz="0" w:space="0" w:color="auto"/>
      </w:divBdr>
    </w:div>
    <w:div w:id="303437993">
      <w:bodyDiv w:val="1"/>
      <w:marLeft w:val="0"/>
      <w:marRight w:val="0"/>
      <w:marTop w:val="0"/>
      <w:marBottom w:val="0"/>
      <w:divBdr>
        <w:top w:val="none" w:sz="0" w:space="0" w:color="auto"/>
        <w:left w:val="none" w:sz="0" w:space="0" w:color="auto"/>
        <w:bottom w:val="none" w:sz="0" w:space="0" w:color="auto"/>
        <w:right w:val="none" w:sz="0" w:space="0" w:color="auto"/>
      </w:divBdr>
    </w:div>
    <w:div w:id="320810503">
      <w:bodyDiv w:val="1"/>
      <w:marLeft w:val="0"/>
      <w:marRight w:val="0"/>
      <w:marTop w:val="0"/>
      <w:marBottom w:val="0"/>
      <w:divBdr>
        <w:top w:val="none" w:sz="0" w:space="0" w:color="auto"/>
        <w:left w:val="none" w:sz="0" w:space="0" w:color="auto"/>
        <w:bottom w:val="none" w:sz="0" w:space="0" w:color="auto"/>
        <w:right w:val="none" w:sz="0" w:space="0" w:color="auto"/>
      </w:divBdr>
    </w:div>
    <w:div w:id="372922556">
      <w:bodyDiv w:val="1"/>
      <w:marLeft w:val="0"/>
      <w:marRight w:val="0"/>
      <w:marTop w:val="0"/>
      <w:marBottom w:val="0"/>
      <w:divBdr>
        <w:top w:val="none" w:sz="0" w:space="0" w:color="auto"/>
        <w:left w:val="none" w:sz="0" w:space="0" w:color="auto"/>
        <w:bottom w:val="none" w:sz="0" w:space="0" w:color="auto"/>
        <w:right w:val="none" w:sz="0" w:space="0" w:color="auto"/>
      </w:divBdr>
    </w:div>
    <w:div w:id="417556372">
      <w:bodyDiv w:val="1"/>
      <w:marLeft w:val="0"/>
      <w:marRight w:val="0"/>
      <w:marTop w:val="0"/>
      <w:marBottom w:val="0"/>
      <w:divBdr>
        <w:top w:val="none" w:sz="0" w:space="0" w:color="auto"/>
        <w:left w:val="none" w:sz="0" w:space="0" w:color="auto"/>
        <w:bottom w:val="none" w:sz="0" w:space="0" w:color="auto"/>
        <w:right w:val="none" w:sz="0" w:space="0" w:color="auto"/>
      </w:divBdr>
    </w:div>
    <w:div w:id="465321105">
      <w:bodyDiv w:val="1"/>
      <w:marLeft w:val="0"/>
      <w:marRight w:val="0"/>
      <w:marTop w:val="0"/>
      <w:marBottom w:val="0"/>
      <w:divBdr>
        <w:top w:val="none" w:sz="0" w:space="0" w:color="auto"/>
        <w:left w:val="none" w:sz="0" w:space="0" w:color="auto"/>
        <w:bottom w:val="none" w:sz="0" w:space="0" w:color="auto"/>
        <w:right w:val="none" w:sz="0" w:space="0" w:color="auto"/>
      </w:divBdr>
    </w:div>
    <w:div w:id="504512793">
      <w:bodyDiv w:val="1"/>
      <w:marLeft w:val="0"/>
      <w:marRight w:val="0"/>
      <w:marTop w:val="0"/>
      <w:marBottom w:val="0"/>
      <w:divBdr>
        <w:top w:val="none" w:sz="0" w:space="0" w:color="auto"/>
        <w:left w:val="none" w:sz="0" w:space="0" w:color="auto"/>
        <w:bottom w:val="none" w:sz="0" w:space="0" w:color="auto"/>
        <w:right w:val="none" w:sz="0" w:space="0" w:color="auto"/>
      </w:divBdr>
    </w:div>
    <w:div w:id="525605797">
      <w:bodyDiv w:val="1"/>
      <w:marLeft w:val="0"/>
      <w:marRight w:val="0"/>
      <w:marTop w:val="0"/>
      <w:marBottom w:val="0"/>
      <w:divBdr>
        <w:top w:val="none" w:sz="0" w:space="0" w:color="auto"/>
        <w:left w:val="none" w:sz="0" w:space="0" w:color="auto"/>
        <w:bottom w:val="none" w:sz="0" w:space="0" w:color="auto"/>
        <w:right w:val="none" w:sz="0" w:space="0" w:color="auto"/>
      </w:divBdr>
    </w:div>
    <w:div w:id="539514096">
      <w:bodyDiv w:val="1"/>
      <w:marLeft w:val="0"/>
      <w:marRight w:val="0"/>
      <w:marTop w:val="0"/>
      <w:marBottom w:val="0"/>
      <w:divBdr>
        <w:top w:val="none" w:sz="0" w:space="0" w:color="auto"/>
        <w:left w:val="none" w:sz="0" w:space="0" w:color="auto"/>
        <w:bottom w:val="none" w:sz="0" w:space="0" w:color="auto"/>
        <w:right w:val="none" w:sz="0" w:space="0" w:color="auto"/>
      </w:divBdr>
    </w:div>
    <w:div w:id="542865622">
      <w:bodyDiv w:val="1"/>
      <w:marLeft w:val="0"/>
      <w:marRight w:val="0"/>
      <w:marTop w:val="0"/>
      <w:marBottom w:val="0"/>
      <w:divBdr>
        <w:top w:val="none" w:sz="0" w:space="0" w:color="auto"/>
        <w:left w:val="none" w:sz="0" w:space="0" w:color="auto"/>
        <w:bottom w:val="none" w:sz="0" w:space="0" w:color="auto"/>
        <w:right w:val="none" w:sz="0" w:space="0" w:color="auto"/>
      </w:divBdr>
    </w:div>
    <w:div w:id="544753557">
      <w:bodyDiv w:val="1"/>
      <w:marLeft w:val="0"/>
      <w:marRight w:val="0"/>
      <w:marTop w:val="0"/>
      <w:marBottom w:val="0"/>
      <w:divBdr>
        <w:top w:val="none" w:sz="0" w:space="0" w:color="auto"/>
        <w:left w:val="none" w:sz="0" w:space="0" w:color="auto"/>
        <w:bottom w:val="none" w:sz="0" w:space="0" w:color="auto"/>
        <w:right w:val="none" w:sz="0" w:space="0" w:color="auto"/>
      </w:divBdr>
    </w:div>
    <w:div w:id="554122279">
      <w:bodyDiv w:val="1"/>
      <w:marLeft w:val="0"/>
      <w:marRight w:val="0"/>
      <w:marTop w:val="0"/>
      <w:marBottom w:val="0"/>
      <w:divBdr>
        <w:top w:val="none" w:sz="0" w:space="0" w:color="auto"/>
        <w:left w:val="none" w:sz="0" w:space="0" w:color="auto"/>
        <w:bottom w:val="none" w:sz="0" w:space="0" w:color="auto"/>
        <w:right w:val="none" w:sz="0" w:space="0" w:color="auto"/>
      </w:divBdr>
    </w:div>
    <w:div w:id="557863223">
      <w:bodyDiv w:val="1"/>
      <w:marLeft w:val="0"/>
      <w:marRight w:val="0"/>
      <w:marTop w:val="0"/>
      <w:marBottom w:val="0"/>
      <w:divBdr>
        <w:top w:val="none" w:sz="0" w:space="0" w:color="auto"/>
        <w:left w:val="none" w:sz="0" w:space="0" w:color="auto"/>
        <w:bottom w:val="none" w:sz="0" w:space="0" w:color="auto"/>
        <w:right w:val="none" w:sz="0" w:space="0" w:color="auto"/>
      </w:divBdr>
    </w:div>
    <w:div w:id="585964317">
      <w:bodyDiv w:val="1"/>
      <w:marLeft w:val="0"/>
      <w:marRight w:val="0"/>
      <w:marTop w:val="0"/>
      <w:marBottom w:val="0"/>
      <w:divBdr>
        <w:top w:val="none" w:sz="0" w:space="0" w:color="auto"/>
        <w:left w:val="none" w:sz="0" w:space="0" w:color="auto"/>
        <w:bottom w:val="none" w:sz="0" w:space="0" w:color="auto"/>
        <w:right w:val="none" w:sz="0" w:space="0" w:color="auto"/>
      </w:divBdr>
    </w:div>
    <w:div w:id="644744966">
      <w:bodyDiv w:val="1"/>
      <w:marLeft w:val="0"/>
      <w:marRight w:val="0"/>
      <w:marTop w:val="0"/>
      <w:marBottom w:val="0"/>
      <w:divBdr>
        <w:top w:val="none" w:sz="0" w:space="0" w:color="auto"/>
        <w:left w:val="none" w:sz="0" w:space="0" w:color="auto"/>
        <w:bottom w:val="none" w:sz="0" w:space="0" w:color="auto"/>
        <w:right w:val="none" w:sz="0" w:space="0" w:color="auto"/>
      </w:divBdr>
    </w:div>
    <w:div w:id="688146402">
      <w:bodyDiv w:val="1"/>
      <w:marLeft w:val="0"/>
      <w:marRight w:val="0"/>
      <w:marTop w:val="0"/>
      <w:marBottom w:val="0"/>
      <w:divBdr>
        <w:top w:val="none" w:sz="0" w:space="0" w:color="auto"/>
        <w:left w:val="none" w:sz="0" w:space="0" w:color="auto"/>
        <w:bottom w:val="none" w:sz="0" w:space="0" w:color="auto"/>
        <w:right w:val="none" w:sz="0" w:space="0" w:color="auto"/>
      </w:divBdr>
    </w:div>
    <w:div w:id="689255146">
      <w:bodyDiv w:val="1"/>
      <w:marLeft w:val="0"/>
      <w:marRight w:val="0"/>
      <w:marTop w:val="0"/>
      <w:marBottom w:val="0"/>
      <w:divBdr>
        <w:top w:val="none" w:sz="0" w:space="0" w:color="auto"/>
        <w:left w:val="none" w:sz="0" w:space="0" w:color="auto"/>
        <w:bottom w:val="none" w:sz="0" w:space="0" w:color="auto"/>
        <w:right w:val="none" w:sz="0" w:space="0" w:color="auto"/>
      </w:divBdr>
    </w:div>
    <w:div w:id="729621259">
      <w:bodyDiv w:val="1"/>
      <w:marLeft w:val="0"/>
      <w:marRight w:val="0"/>
      <w:marTop w:val="0"/>
      <w:marBottom w:val="0"/>
      <w:divBdr>
        <w:top w:val="none" w:sz="0" w:space="0" w:color="auto"/>
        <w:left w:val="none" w:sz="0" w:space="0" w:color="auto"/>
        <w:bottom w:val="none" w:sz="0" w:space="0" w:color="auto"/>
        <w:right w:val="none" w:sz="0" w:space="0" w:color="auto"/>
      </w:divBdr>
    </w:div>
    <w:div w:id="753742047">
      <w:bodyDiv w:val="1"/>
      <w:marLeft w:val="0"/>
      <w:marRight w:val="0"/>
      <w:marTop w:val="0"/>
      <w:marBottom w:val="0"/>
      <w:divBdr>
        <w:top w:val="none" w:sz="0" w:space="0" w:color="auto"/>
        <w:left w:val="none" w:sz="0" w:space="0" w:color="auto"/>
        <w:bottom w:val="none" w:sz="0" w:space="0" w:color="auto"/>
        <w:right w:val="none" w:sz="0" w:space="0" w:color="auto"/>
      </w:divBdr>
    </w:div>
    <w:div w:id="788858501">
      <w:bodyDiv w:val="1"/>
      <w:marLeft w:val="0"/>
      <w:marRight w:val="0"/>
      <w:marTop w:val="0"/>
      <w:marBottom w:val="0"/>
      <w:divBdr>
        <w:top w:val="none" w:sz="0" w:space="0" w:color="auto"/>
        <w:left w:val="none" w:sz="0" w:space="0" w:color="auto"/>
        <w:bottom w:val="none" w:sz="0" w:space="0" w:color="auto"/>
        <w:right w:val="none" w:sz="0" w:space="0" w:color="auto"/>
      </w:divBdr>
    </w:div>
    <w:div w:id="789783878">
      <w:bodyDiv w:val="1"/>
      <w:marLeft w:val="0"/>
      <w:marRight w:val="0"/>
      <w:marTop w:val="0"/>
      <w:marBottom w:val="0"/>
      <w:divBdr>
        <w:top w:val="none" w:sz="0" w:space="0" w:color="auto"/>
        <w:left w:val="none" w:sz="0" w:space="0" w:color="auto"/>
        <w:bottom w:val="none" w:sz="0" w:space="0" w:color="auto"/>
        <w:right w:val="none" w:sz="0" w:space="0" w:color="auto"/>
      </w:divBdr>
    </w:div>
    <w:div w:id="793062511">
      <w:bodyDiv w:val="1"/>
      <w:marLeft w:val="0"/>
      <w:marRight w:val="0"/>
      <w:marTop w:val="0"/>
      <w:marBottom w:val="0"/>
      <w:divBdr>
        <w:top w:val="none" w:sz="0" w:space="0" w:color="auto"/>
        <w:left w:val="none" w:sz="0" w:space="0" w:color="auto"/>
        <w:bottom w:val="none" w:sz="0" w:space="0" w:color="auto"/>
        <w:right w:val="none" w:sz="0" w:space="0" w:color="auto"/>
      </w:divBdr>
    </w:div>
    <w:div w:id="844367170">
      <w:bodyDiv w:val="1"/>
      <w:marLeft w:val="0"/>
      <w:marRight w:val="0"/>
      <w:marTop w:val="0"/>
      <w:marBottom w:val="0"/>
      <w:divBdr>
        <w:top w:val="none" w:sz="0" w:space="0" w:color="auto"/>
        <w:left w:val="none" w:sz="0" w:space="0" w:color="auto"/>
        <w:bottom w:val="none" w:sz="0" w:space="0" w:color="auto"/>
        <w:right w:val="none" w:sz="0" w:space="0" w:color="auto"/>
      </w:divBdr>
    </w:div>
    <w:div w:id="878322037">
      <w:bodyDiv w:val="1"/>
      <w:marLeft w:val="0"/>
      <w:marRight w:val="0"/>
      <w:marTop w:val="0"/>
      <w:marBottom w:val="0"/>
      <w:divBdr>
        <w:top w:val="none" w:sz="0" w:space="0" w:color="auto"/>
        <w:left w:val="none" w:sz="0" w:space="0" w:color="auto"/>
        <w:bottom w:val="none" w:sz="0" w:space="0" w:color="auto"/>
        <w:right w:val="none" w:sz="0" w:space="0" w:color="auto"/>
      </w:divBdr>
    </w:div>
    <w:div w:id="911280270">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1006129445">
      <w:bodyDiv w:val="1"/>
      <w:marLeft w:val="0"/>
      <w:marRight w:val="0"/>
      <w:marTop w:val="0"/>
      <w:marBottom w:val="0"/>
      <w:divBdr>
        <w:top w:val="none" w:sz="0" w:space="0" w:color="auto"/>
        <w:left w:val="none" w:sz="0" w:space="0" w:color="auto"/>
        <w:bottom w:val="none" w:sz="0" w:space="0" w:color="auto"/>
        <w:right w:val="none" w:sz="0" w:space="0" w:color="auto"/>
      </w:divBdr>
    </w:div>
    <w:div w:id="1065026781">
      <w:bodyDiv w:val="1"/>
      <w:marLeft w:val="0"/>
      <w:marRight w:val="0"/>
      <w:marTop w:val="0"/>
      <w:marBottom w:val="0"/>
      <w:divBdr>
        <w:top w:val="none" w:sz="0" w:space="0" w:color="auto"/>
        <w:left w:val="none" w:sz="0" w:space="0" w:color="auto"/>
        <w:bottom w:val="none" w:sz="0" w:space="0" w:color="auto"/>
        <w:right w:val="none" w:sz="0" w:space="0" w:color="auto"/>
      </w:divBdr>
    </w:div>
    <w:div w:id="1101291494">
      <w:bodyDiv w:val="1"/>
      <w:marLeft w:val="0"/>
      <w:marRight w:val="0"/>
      <w:marTop w:val="0"/>
      <w:marBottom w:val="0"/>
      <w:divBdr>
        <w:top w:val="none" w:sz="0" w:space="0" w:color="auto"/>
        <w:left w:val="none" w:sz="0" w:space="0" w:color="auto"/>
        <w:bottom w:val="none" w:sz="0" w:space="0" w:color="auto"/>
        <w:right w:val="none" w:sz="0" w:space="0" w:color="auto"/>
      </w:divBdr>
    </w:div>
    <w:div w:id="1109466184">
      <w:bodyDiv w:val="1"/>
      <w:marLeft w:val="0"/>
      <w:marRight w:val="0"/>
      <w:marTop w:val="0"/>
      <w:marBottom w:val="0"/>
      <w:divBdr>
        <w:top w:val="none" w:sz="0" w:space="0" w:color="auto"/>
        <w:left w:val="none" w:sz="0" w:space="0" w:color="auto"/>
        <w:bottom w:val="none" w:sz="0" w:space="0" w:color="auto"/>
        <w:right w:val="none" w:sz="0" w:space="0" w:color="auto"/>
      </w:divBdr>
    </w:div>
    <w:div w:id="1245067589">
      <w:bodyDiv w:val="1"/>
      <w:marLeft w:val="0"/>
      <w:marRight w:val="0"/>
      <w:marTop w:val="0"/>
      <w:marBottom w:val="0"/>
      <w:divBdr>
        <w:top w:val="none" w:sz="0" w:space="0" w:color="auto"/>
        <w:left w:val="none" w:sz="0" w:space="0" w:color="auto"/>
        <w:bottom w:val="none" w:sz="0" w:space="0" w:color="auto"/>
        <w:right w:val="none" w:sz="0" w:space="0" w:color="auto"/>
      </w:divBdr>
    </w:div>
    <w:div w:id="1267155965">
      <w:bodyDiv w:val="1"/>
      <w:marLeft w:val="0"/>
      <w:marRight w:val="0"/>
      <w:marTop w:val="0"/>
      <w:marBottom w:val="0"/>
      <w:divBdr>
        <w:top w:val="none" w:sz="0" w:space="0" w:color="auto"/>
        <w:left w:val="none" w:sz="0" w:space="0" w:color="auto"/>
        <w:bottom w:val="none" w:sz="0" w:space="0" w:color="auto"/>
        <w:right w:val="none" w:sz="0" w:space="0" w:color="auto"/>
      </w:divBdr>
    </w:div>
    <w:div w:id="1297762571">
      <w:bodyDiv w:val="1"/>
      <w:marLeft w:val="0"/>
      <w:marRight w:val="0"/>
      <w:marTop w:val="0"/>
      <w:marBottom w:val="0"/>
      <w:divBdr>
        <w:top w:val="none" w:sz="0" w:space="0" w:color="auto"/>
        <w:left w:val="none" w:sz="0" w:space="0" w:color="auto"/>
        <w:bottom w:val="none" w:sz="0" w:space="0" w:color="auto"/>
        <w:right w:val="none" w:sz="0" w:space="0" w:color="auto"/>
      </w:divBdr>
    </w:div>
    <w:div w:id="1309017069">
      <w:bodyDiv w:val="1"/>
      <w:marLeft w:val="0"/>
      <w:marRight w:val="0"/>
      <w:marTop w:val="0"/>
      <w:marBottom w:val="0"/>
      <w:divBdr>
        <w:top w:val="none" w:sz="0" w:space="0" w:color="auto"/>
        <w:left w:val="none" w:sz="0" w:space="0" w:color="auto"/>
        <w:bottom w:val="none" w:sz="0" w:space="0" w:color="auto"/>
        <w:right w:val="none" w:sz="0" w:space="0" w:color="auto"/>
      </w:divBdr>
    </w:div>
    <w:div w:id="1343362736">
      <w:bodyDiv w:val="1"/>
      <w:marLeft w:val="0"/>
      <w:marRight w:val="0"/>
      <w:marTop w:val="0"/>
      <w:marBottom w:val="0"/>
      <w:divBdr>
        <w:top w:val="none" w:sz="0" w:space="0" w:color="auto"/>
        <w:left w:val="none" w:sz="0" w:space="0" w:color="auto"/>
        <w:bottom w:val="none" w:sz="0" w:space="0" w:color="auto"/>
        <w:right w:val="none" w:sz="0" w:space="0" w:color="auto"/>
      </w:divBdr>
    </w:div>
    <w:div w:id="1366370672">
      <w:bodyDiv w:val="1"/>
      <w:marLeft w:val="0"/>
      <w:marRight w:val="0"/>
      <w:marTop w:val="0"/>
      <w:marBottom w:val="0"/>
      <w:divBdr>
        <w:top w:val="none" w:sz="0" w:space="0" w:color="auto"/>
        <w:left w:val="none" w:sz="0" w:space="0" w:color="auto"/>
        <w:bottom w:val="none" w:sz="0" w:space="0" w:color="auto"/>
        <w:right w:val="none" w:sz="0" w:space="0" w:color="auto"/>
      </w:divBdr>
    </w:div>
    <w:div w:id="1391921519">
      <w:bodyDiv w:val="1"/>
      <w:marLeft w:val="0"/>
      <w:marRight w:val="0"/>
      <w:marTop w:val="0"/>
      <w:marBottom w:val="0"/>
      <w:divBdr>
        <w:top w:val="none" w:sz="0" w:space="0" w:color="auto"/>
        <w:left w:val="none" w:sz="0" w:space="0" w:color="auto"/>
        <w:bottom w:val="none" w:sz="0" w:space="0" w:color="auto"/>
        <w:right w:val="none" w:sz="0" w:space="0" w:color="auto"/>
      </w:divBdr>
    </w:div>
    <w:div w:id="1432584155">
      <w:bodyDiv w:val="1"/>
      <w:marLeft w:val="0"/>
      <w:marRight w:val="0"/>
      <w:marTop w:val="0"/>
      <w:marBottom w:val="0"/>
      <w:divBdr>
        <w:top w:val="none" w:sz="0" w:space="0" w:color="auto"/>
        <w:left w:val="none" w:sz="0" w:space="0" w:color="auto"/>
        <w:bottom w:val="none" w:sz="0" w:space="0" w:color="auto"/>
        <w:right w:val="none" w:sz="0" w:space="0" w:color="auto"/>
      </w:divBdr>
    </w:div>
    <w:div w:id="1452749983">
      <w:bodyDiv w:val="1"/>
      <w:marLeft w:val="0"/>
      <w:marRight w:val="0"/>
      <w:marTop w:val="0"/>
      <w:marBottom w:val="0"/>
      <w:divBdr>
        <w:top w:val="none" w:sz="0" w:space="0" w:color="auto"/>
        <w:left w:val="none" w:sz="0" w:space="0" w:color="auto"/>
        <w:bottom w:val="none" w:sz="0" w:space="0" w:color="auto"/>
        <w:right w:val="none" w:sz="0" w:space="0" w:color="auto"/>
      </w:divBdr>
    </w:div>
    <w:div w:id="1515219727">
      <w:bodyDiv w:val="1"/>
      <w:marLeft w:val="0"/>
      <w:marRight w:val="0"/>
      <w:marTop w:val="0"/>
      <w:marBottom w:val="0"/>
      <w:divBdr>
        <w:top w:val="none" w:sz="0" w:space="0" w:color="auto"/>
        <w:left w:val="none" w:sz="0" w:space="0" w:color="auto"/>
        <w:bottom w:val="none" w:sz="0" w:space="0" w:color="auto"/>
        <w:right w:val="none" w:sz="0" w:space="0" w:color="auto"/>
      </w:divBdr>
    </w:div>
    <w:div w:id="1526406730">
      <w:bodyDiv w:val="1"/>
      <w:marLeft w:val="0"/>
      <w:marRight w:val="0"/>
      <w:marTop w:val="0"/>
      <w:marBottom w:val="0"/>
      <w:divBdr>
        <w:top w:val="none" w:sz="0" w:space="0" w:color="auto"/>
        <w:left w:val="none" w:sz="0" w:space="0" w:color="auto"/>
        <w:bottom w:val="none" w:sz="0" w:space="0" w:color="auto"/>
        <w:right w:val="none" w:sz="0" w:space="0" w:color="auto"/>
      </w:divBdr>
    </w:div>
    <w:div w:id="1529560312">
      <w:bodyDiv w:val="1"/>
      <w:marLeft w:val="0"/>
      <w:marRight w:val="0"/>
      <w:marTop w:val="0"/>
      <w:marBottom w:val="0"/>
      <w:divBdr>
        <w:top w:val="none" w:sz="0" w:space="0" w:color="auto"/>
        <w:left w:val="none" w:sz="0" w:space="0" w:color="auto"/>
        <w:bottom w:val="none" w:sz="0" w:space="0" w:color="auto"/>
        <w:right w:val="none" w:sz="0" w:space="0" w:color="auto"/>
      </w:divBdr>
    </w:div>
    <w:div w:id="1579168408">
      <w:bodyDiv w:val="1"/>
      <w:marLeft w:val="0"/>
      <w:marRight w:val="0"/>
      <w:marTop w:val="0"/>
      <w:marBottom w:val="0"/>
      <w:divBdr>
        <w:top w:val="none" w:sz="0" w:space="0" w:color="auto"/>
        <w:left w:val="none" w:sz="0" w:space="0" w:color="auto"/>
        <w:bottom w:val="none" w:sz="0" w:space="0" w:color="auto"/>
        <w:right w:val="none" w:sz="0" w:space="0" w:color="auto"/>
      </w:divBdr>
    </w:div>
    <w:div w:id="1586382752">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917244">
      <w:bodyDiv w:val="1"/>
      <w:marLeft w:val="0"/>
      <w:marRight w:val="0"/>
      <w:marTop w:val="0"/>
      <w:marBottom w:val="0"/>
      <w:divBdr>
        <w:top w:val="none" w:sz="0" w:space="0" w:color="auto"/>
        <w:left w:val="none" w:sz="0" w:space="0" w:color="auto"/>
        <w:bottom w:val="none" w:sz="0" w:space="0" w:color="auto"/>
        <w:right w:val="none" w:sz="0" w:space="0" w:color="auto"/>
      </w:divBdr>
    </w:div>
    <w:div w:id="1664164911">
      <w:bodyDiv w:val="1"/>
      <w:marLeft w:val="0"/>
      <w:marRight w:val="0"/>
      <w:marTop w:val="0"/>
      <w:marBottom w:val="0"/>
      <w:divBdr>
        <w:top w:val="none" w:sz="0" w:space="0" w:color="auto"/>
        <w:left w:val="none" w:sz="0" w:space="0" w:color="auto"/>
        <w:bottom w:val="none" w:sz="0" w:space="0" w:color="auto"/>
        <w:right w:val="none" w:sz="0" w:space="0" w:color="auto"/>
      </w:divBdr>
    </w:div>
    <w:div w:id="1729835720">
      <w:bodyDiv w:val="1"/>
      <w:marLeft w:val="0"/>
      <w:marRight w:val="0"/>
      <w:marTop w:val="0"/>
      <w:marBottom w:val="0"/>
      <w:divBdr>
        <w:top w:val="none" w:sz="0" w:space="0" w:color="auto"/>
        <w:left w:val="none" w:sz="0" w:space="0" w:color="auto"/>
        <w:bottom w:val="none" w:sz="0" w:space="0" w:color="auto"/>
        <w:right w:val="none" w:sz="0" w:space="0" w:color="auto"/>
      </w:divBdr>
    </w:div>
    <w:div w:id="1732270628">
      <w:bodyDiv w:val="1"/>
      <w:marLeft w:val="0"/>
      <w:marRight w:val="0"/>
      <w:marTop w:val="0"/>
      <w:marBottom w:val="0"/>
      <w:divBdr>
        <w:top w:val="none" w:sz="0" w:space="0" w:color="auto"/>
        <w:left w:val="none" w:sz="0" w:space="0" w:color="auto"/>
        <w:bottom w:val="none" w:sz="0" w:space="0" w:color="auto"/>
        <w:right w:val="none" w:sz="0" w:space="0" w:color="auto"/>
      </w:divBdr>
    </w:div>
    <w:div w:id="1779566513">
      <w:bodyDiv w:val="1"/>
      <w:marLeft w:val="0"/>
      <w:marRight w:val="0"/>
      <w:marTop w:val="0"/>
      <w:marBottom w:val="0"/>
      <w:divBdr>
        <w:top w:val="none" w:sz="0" w:space="0" w:color="auto"/>
        <w:left w:val="none" w:sz="0" w:space="0" w:color="auto"/>
        <w:bottom w:val="none" w:sz="0" w:space="0" w:color="auto"/>
        <w:right w:val="none" w:sz="0" w:space="0" w:color="auto"/>
      </w:divBdr>
    </w:div>
    <w:div w:id="1801652595">
      <w:bodyDiv w:val="1"/>
      <w:marLeft w:val="0"/>
      <w:marRight w:val="0"/>
      <w:marTop w:val="0"/>
      <w:marBottom w:val="0"/>
      <w:divBdr>
        <w:top w:val="none" w:sz="0" w:space="0" w:color="auto"/>
        <w:left w:val="none" w:sz="0" w:space="0" w:color="auto"/>
        <w:bottom w:val="none" w:sz="0" w:space="0" w:color="auto"/>
        <w:right w:val="none" w:sz="0" w:space="0" w:color="auto"/>
      </w:divBdr>
    </w:div>
    <w:div w:id="1810123294">
      <w:bodyDiv w:val="1"/>
      <w:marLeft w:val="0"/>
      <w:marRight w:val="0"/>
      <w:marTop w:val="0"/>
      <w:marBottom w:val="0"/>
      <w:divBdr>
        <w:top w:val="none" w:sz="0" w:space="0" w:color="auto"/>
        <w:left w:val="none" w:sz="0" w:space="0" w:color="auto"/>
        <w:bottom w:val="none" w:sz="0" w:space="0" w:color="auto"/>
        <w:right w:val="none" w:sz="0" w:space="0" w:color="auto"/>
      </w:divBdr>
    </w:div>
    <w:div w:id="1855532459">
      <w:bodyDiv w:val="1"/>
      <w:marLeft w:val="0"/>
      <w:marRight w:val="0"/>
      <w:marTop w:val="0"/>
      <w:marBottom w:val="0"/>
      <w:divBdr>
        <w:top w:val="none" w:sz="0" w:space="0" w:color="auto"/>
        <w:left w:val="none" w:sz="0" w:space="0" w:color="auto"/>
        <w:bottom w:val="none" w:sz="0" w:space="0" w:color="auto"/>
        <w:right w:val="none" w:sz="0" w:space="0" w:color="auto"/>
      </w:divBdr>
    </w:div>
    <w:div w:id="1872719062">
      <w:bodyDiv w:val="1"/>
      <w:marLeft w:val="0"/>
      <w:marRight w:val="0"/>
      <w:marTop w:val="0"/>
      <w:marBottom w:val="0"/>
      <w:divBdr>
        <w:top w:val="none" w:sz="0" w:space="0" w:color="auto"/>
        <w:left w:val="none" w:sz="0" w:space="0" w:color="auto"/>
        <w:bottom w:val="none" w:sz="0" w:space="0" w:color="auto"/>
        <w:right w:val="none" w:sz="0" w:space="0" w:color="auto"/>
      </w:divBdr>
    </w:div>
    <w:div w:id="1895921576">
      <w:bodyDiv w:val="1"/>
      <w:marLeft w:val="0"/>
      <w:marRight w:val="0"/>
      <w:marTop w:val="0"/>
      <w:marBottom w:val="0"/>
      <w:divBdr>
        <w:top w:val="none" w:sz="0" w:space="0" w:color="auto"/>
        <w:left w:val="none" w:sz="0" w:space="0" w:color="auto"/>
        <w:bottom w:val="none" w:sz="0" w:space="0" w:color="auto"/>
        <w:right w:val="none" w:sz="0" w:space="0" w:color="auto"/>
      </w:divBdr>
    </w:div>
    <w:div w:id="1961571270">
      <w:bodyDiv w:val="1"/>
      <w:marLeft w:val="0"/>
      <w:marRight w:val="0"/>
      <w:marTop w:val="0"/>
      <w:marBottom w:val="0"/>
      <w:divBdr>
        <w:top w:val="none" w:sz="0" w:space="0" w:color="auto"/>
        <w:left w:val="none" w:sz="0" w:space="0" w:color="auto"/>
        <w:bottom w:val="none" w:sz="0" w:space="0" w:color="auto"/>
        <w:right w:val="none" w:sz="0" w:space="0" w:color="auto"/>
      </w:divBdr>
    </w:div>
    <w:div w:id="1961573202">
      <w:bodyDiv w:val="1"/>
      <w:marLeft w:val="0"/>
      <w:marRight w:val="0"/>
      <w:marTop w:val="0"/>
      <w:marBottom w:val="0"/>
      <w:divBdr>
        <w:top w:val="none" w:sz="0" w:space="0" w:color="auto"/>
        <w:left w:val="none" w:sz="0" w:space="0" w:color="auto"/>
        <w:bottom w:val="none" w:sz="0" w:space="0" w:color="auto"/>
        <w:right w:val="none" w:sz="0" w:space="0" w:color="auto"/>
      </w:divBdr>
    </w:div>
    <w:div w:id="1984963793">
      <w:bodyDiv w:val="1"/>
      <w:marLeft w:val="0"/>
      <w:marRight w:val="0"/>
      <w:marTop w:val="0"/>
      <w:marBottom w:val="0"/>
      <w:divBdr>
        <w:top w:val="none" w:sz="0" w:space="0" w:color="auto"/>
        <w:left w:val="none" w:sz="0" w:space="0" w:color="auto"/>
        <w:bottom w:val="none" w:sz="0" w:space="0" w:color="auto"/>
        <w:right w:val="none" w:sz="0" w:space="0" w:color="auto"/>
      </w:divBdr>
    </w:div>
    <w:div w:id="2010133688">
      <w:bodyDiv w:val="1"/>
      <w:marLeft w:val="0"/>
      <w:marRight w:val="0"/>
      <w:marTop w:val="0"/>
      <w:marBottom w:val="0"/>
      <w:divBdr>
        <w:top w:val="none" w:sz="0" w:space="0" w:color="auto"/>
        <w:left w:val="none" w:sz="0" w:space="0" w:color="auto"/>
        <w:bottom w:val="none" w:sz="0" w:space="0" w:color="auto"/>
        <w:right w:val="none" w:sz="0" w:space="0" w:color="auto"/>
      </w:divBdr>
    </w:div>
    <w:div w:id="2041970832">
      <w:bodyDiv w:val="1"/>
      <w:marLeft w:val="0"/>
      <w:marRight w:val="0"/>
      <w:marTop w:val="0"/>
      <w:marBottom w:val="0"/>
      <w:divBdr>
        <w:top w:val="none" w:sz="0" w:space="0" w:color="auto"/>
        <w:left w:val="none" w:sz="0" w:space="0" w:color="auto"/>
        <w:bottom w:val="none" w:sz="0" w:space="0" w:color="auto"/>
        <w:right w:val="none" w:sz="0" w:space="0" w:color="auto"/>
      </w:divBdr>
    </w:div>
    <w:div w:id="2069110244">
      <w:bodyDiv w:val="1"/>
      <w:marLeft w:val="0"/>
      <w:marRight w:val="0"/>
      <w:marTop w:val="0"/>
      <w:marBottom w:val="0"/>
      <w:divBdr>
        <w:top w:val="none" w:sz="0" w:space="0" w:color="auto"/>
        <w:left w:val="none" w:sz="0" w:space="0" w:color="auto"/>
        <w:bottom w:val="none" w:sz="0" w:space="0" w:color="auto"/>
        <w:right w:val="none" w:sz="0" w:space="0" w:color="auto"/>
      </w:divBdr>
    </w:div>
    <w:div w:id="2092189568">
      <w:bodyDiv w:val="1"/>
      <w:marLeft w:val="0"/>
      <w:marRight w:val="0"/>
      <w:marTop w:val="0"/>
      <w:marBottom w:val="0"/>
      <w:divBdr>
        <w:top w:val="none" w:sz="0" w:space="0" w:color="auto"/>
        <w:left w:val="none" w:sz="0" w:space="0" w:color="auto"/>
        <w:bottom w:val="none" w:sz="0" w:space="0" w:color="auto"/>
        <w:right w:val="none" w:sz="0" w:space="0" w:color="auto"/>
      </w:divBdr>
    </w:div>
    <w:div w:id="2100252646">
      <w:bodyDiv w:val="1"/>
      <w:marLeft w:val="0"/>
      <w:marRight w:val="0"/>
      <w:marTop w:val="0"/>
      <w:marBottom w:val="0"/>
      <w:divBdr>
        <w:top w:val="none" w:sz="0" w:space="0" w:color="auto"/>
        <w:left w:val="none" w:sz="0" w:space="0" w:color="auto"/>
        <w:bottom w:val="none" w:sz="0" w:space="0" w:color="auto"/>
        <w:right w:val="none" w:sz="0" w:space="0" w:color="auto"/>
      </w:divBdr>
    </w:div>
    <w:div w:id="21008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30986-D85A-4031-AB7F-7449A02D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5219</Words>
  <Characters>28705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5</cp:revision>
  <cp:lastPrinted>2016-01-14T08:34:00Z</cp:lastPrinted>
  <dcterms:created xsi:type="dcterms:W3CDTF">2016-02-25T10:33:00Z</dcterms:created>
  <dcterms:modified xsi:type="dcterms:W3CDTF">2016-02-26T07:07:00Z</dcterms:modified>
</cp:coreProperties>
</file>