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61" w:rsidRDefault="00D61161"/>
    <w:tbl>
      <w:tblPr>
        <w:tblStyle w:val="Tablaconcuadrcula"/>
        <w:tblW w:w="9889" w:type="dxa"/>
        <w:tblLayout w:type="fixed"/>
        <w:tblLook w:val="04A0" w:firstRow="1" w:lastRow="0" w:firstColumn="1" w:lastColumn="0" w:noHBand="0" w:noVBand="1"/>
      </w:tblPr>
      <w:tblGrid>
        <w:gridCol w:w="1809"/>
        <w:gridCol w:w="426"/>
        <w:gridCol w:w="2409"/>
        <w:gridCol w:w="5245"/>
      </w:tblGrid>
      <w:tr w:rsidR="000836F0" w:rsidTr="00B456C9">
        <w:tc>
          <w:tcPr>
            <w:tcW w:w="9889" w:type="dxa"/>
            <w:gridSpan w:val="4"/>
            <w:tcBorders>
              <w:bottom w:val="single" w:sz="4" w:space="0" w:color="auto"/>
            </w:tcBorders>
            <w:shd w:val="clear" w:color="auto" w:fill="F2F2F2" w:themeFill="background1" w:themeFillShade="F2"/>
          </w:tcPr>
          <w:p w:rsidR="000836F0" w:rsidRPr="006E0748" w:rsidRDefault="000836F0" w:rsidP="00AE1AE6">
            <w:pPr>
              <w:jc w:val="center"/>
            </w:pPr>
            <w:r w:rsidRPr="006E0748">
              <w:rPr>
                <w:rFonts w:ascii="Calibri" w:hAnsi="Calibri"/>
                <w:b/>
              </w:rPr>
              <w:t>INFORME DE AUDITORÍA INTERNA</w:t>
            </w:r>
            <w:r w:rsidR="00660D83">
              <w:rPr>
                <w:rFonts w:ascii="Calibri" w:hAnsi="Calibri"/>
                <w:b/>
              </w:rPr>
              <w:t xml:space="preserve"> DE SEGUIMIENTO</w:t>
            </w:r>
            <w:r w:rsidRPr="006E0748">
              <w:rPr>
                <w:rFonts w:ascii="Calibri" w:hAnsi="Calibri"/>
                <w:b/>
              </w:rPr>
              <w:t xml:space="preserve"> ANUAL 201</w:t>
            </w:r>
            <w:r w:rsidR="00AE1AE6">
              <w:rPr>
                <w:rFonts w:ascii="Calibri" w:hAnsi="Calibri"/>
                <w:b/>
              </w:rPr>
              <w:t>5</w:t>
            </w:r>
            <w:r w:rsidRPr="006E0748">
              <w:rPr>
                <w:rFonts w:ascii="Calibri" w:hAnsi="Calibri"/>
                <w:b/>
              </w:rPr>
              <w:t>.</w:t>
            </w:r>
          </w:p>
        </w:tc>
      </w:tr>
      <w:tr w:rsidR="008D06CF" w:rsidRPr="009C3E57" w:rsidTr="000A14DC">
        <w:trPr>
          <w:trHeight w:val="322"/>
        </w:trPr>
        <w:tc>
          <w:tcPr>
            <w:tcW w:w="1809" w:type="dxa"/>
            <w:tcBorders>
              <w:bottom w:val="single" w:sz="4" w:space="0" w:color="auto"/>
              <w:right w:val="single" w:sz="4" w:space="0" w:color="auto"/>
            </w:tcBorders>
            <w:shd w:val="clear" w:color="auto" w:fill="F2F2F2" w:themeFill="background1" w:themeFillShade="F2"/>
          </w:tcPr>
          <w:p w:rsidR="008D06CF" w:rsidRPr="006E0748" w:rsidRDefault="008D06CF" w:rsidP="00B97F47">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tcPr>
          <w:p w:rsidR="008D06CF" w:rsidRPr="008D06CF" w:rsidRDefault="0023343E" w:rsidP="003F79C7">
            <w:pPr>
              <w:rPr>
                <w:b/>
              </w:rPr>
            </w:pPr>
            <w:r w:rsidRPr="00D13FE8">
              <w:t>PC 0</w:t>
            </w:r>
            <w:r w:rsidR="003F79C7">
              <w:t>8</w:t>
            </w:r>
            <w:r w:rsidRPr="00D13FE8">
              <w:t xml:space="preserve">. </w:t>
            </w:r>
            <w:r w:rsidR="003F79C7">
              <w:t>GESTIÓN DE LA PRESTACIÓN DE SERVICIOS DE APOYO CIENTÍFICO TÉCNICO.</w:t>
            </w:r>
          </w:p>
        </w:tc>
      </w:tr>
      <w:tr w:rsidR="006E0748" w:rsidRPr="000F576E" w:rsidTr="00B456C9">
        <w:tc>
          <w:tcPr>
            <w:tcW w:w="4644" w:type="dxa"/>
            <w:gridSpan w:val="3"/>
            <w:tcBorders>
              <w:right w:val="single" w:sz="4" w:space="0" w:color="auto"/>
            </w:tcBorders>
            <w:shd w:val="clear" w:color="auto" w:fill="F2F2F2" w:themeFill="background1" w:themeFillShade="F2"/>
          </w:tcPr>
          <w:p w:rsidR="006E0748" w:rsidRPr="006E0748" w:rsidRDefault="006E0748" w:rsidP="00B97F47">
            <w:r w:rsidRPr="006E0748">
              <w:rPr>
                <w:b/>
              </w:rPr>
              <w:t>FECHA</w:t>
            </w:r>
            <w:r>
              <w:rPr>
                <w:b/>
              </w:rPr>
              <w:t xml:space="preserve"> DE REALIZACIÓN DE LA AUDITORÍA</w:t>
            </w:r>
            <w:r w:rsidRPr="006E0748">
              <w:rPr>
                <w:b/>
              </w:rPr>
              <w:t xml:space="preserve">: </w:t>
            </w:r>
          </w:p>
        </w:tc>
        <w:tc>
          <w:tcPr>
            <w:tcW w:w="5245" w:type="dxa"/>
            <w:tcBorders>
              <w:left w:val="single" w:sz="4" w:space="0" w:color="auto"/>
            </w:tcBorders>
          </w:tcPr>
          <w:p w:rsidR="006E0748" w:rsidRPr="006E0748" w:rsidRDefault="003F79C7" w:rsidP="003E5898">
            <w:r>
              <w:t>21/09/2015 – 9:00 HORAS.</w:t>
            </w:r>
          </w:p>
        </w:tc>
      </w:tr>
      <w:tr w:rsidR="006E0748" w:rsidRPr="006E0748" w:rsidTr="00B74726">
        <w:trPr>
          <w:trHeight w:val="845"/>
        </w:trPr>
        <w:tc>
          <w:tcPr>
            <w:tcW w:w="2235" w:type="dxa"/>
            <w:gridSpan w:val="2"/>
            <w:shd w:val="clear" w:color="auto" w:fill="F2F2F2" w:themeFill="background1" w:themeFillShade="F2"/>
            <w:vAlign w:val="center"/>
          </w:tcPr>
          <w:p w:rsidR="006E0748" w:rsidRPr="006E0748" w:rsidRDefault="00B456C9" w:rsidP="00B456C9">
            <w:r>
              <w:rPr>
                <w:b/>
              </w:rPr>
              <w:t>AUDITORES</w:t>
            </w:r>
            <w:r w:rsidR="006E0748" w:rsidRPr="006E0748">
              <w:rPr>
                <w:b/>
              </w:rPr>
              <w:t xml:space="preserve"> </w:t>
            </w:r>
            <w:r>
              <w:rPr>
                <w:b/>
              </w:rPr>
              <w:t>:</w:t>
            </w:r>
          </w:p>
        </w:tc>
        <w:tc>
          <w:tcPr>
            <w:tcW w:w="7654" w:type="dxa"/>
            <w:gridSpan w:val="2"/>
          </w:tcPr>
          <w:p w:rsidR="00A6665A" w:rsidRDefault="00A6665A" w:rsidP="00A6665A">
            <w:pPr>
              <w:spacing w:after="200"/>
            </w:pPr>
            <w:r>
              <w:t xml:space="preserve">Auditor coordinador de proceso: </w:t>
            </w:r>
            <w:r w:rsidR="003F79C7">
              <w:t>Francisco David Susí García</w:t>
            </w:r>
          </w:p>
          <w:p w:rsidR="006E0748" w:rsidRPr="008D06CF" w:rsidRDefault="00A6665A" w:rsidP="00DC27ED">
            <w:pPr>
              <w:numPr>
                <w:ilvl w:val="0"/>
                <w:numId w:val="4"/>
              </w:numPr>
            </w:pPr>
            <w:r>
              <w:t>Auditor</w:t>
            </w:r>
            <w:r w:rsidR="00DC27ED">
              <w:t>a</w:t>
            </w:r>
            <w:r>
              <w:t xml:space="preserve">: </w:t>
            </w:r>
            <w:r w:rsidR="00DC27ED">
              <w:t xml:space="preserve">María del Carmen </w:t>
            </w:r>
            <w:r w:rsidR="002D0D41">
              <w:t>Higueras</w:t>
            </w:r>
            <w:r w:rsidR="00DC27ED">
              <w:t xml:space="preserve"> Herrador</w:t>
            </w:r>
          </w:p>
        </w:tc>
      </w:tr>
      <w:tr w:rsidR="00B456C9" w:rsidRPr="006E0748" w:rsidTr="006E6F9A">
        <w:trPr>
          <w:trHeight w:val="982"/>
        </w:trPr>
        <w:tc>
          <w:tcPr>
            <w:tcW w:w="2235" w:type="dxa"/>
            <w:gridSpan w:val="2"/>
            <w:shd w:val="clear" w:color="auto" w:fill="F2F2F2" w:themeFill="background1" w:themeFillShade="F2"/>
            <w:vAlign w:val="center"/>
          </w:tcPr>
          <w:p w:rsidR="00B456C9" w:rsidRPr="006E0748" w:rsidRDefault="00B456C9" w:rsidP="00EB52A8">
            <w:r>
              <w:rPr>
                <w:b/>
              </w:rPr>
              <w:t>RESPONSABLES DE UNIDAD:</w:t>
            </w:r>
          </w:p>
        </w:tc>
        <w:tc>
          <w:tcPr>
            <w:tcW w:w="7654" w:type="dxa"/>
            <w:gridSpan w:val="2"/>
            <w:vAlign w:val="center"/>
          </w:tcPr>
          <w:p w:rsidR="00B456C9" w:rsidRPr="000F1E78" w:rsidRDefault="00DC27ED" w:rsidP="002D0D41">
            <w:pPr>
              <w:pStyle w:val="Prrafodelista"/>
              <w:numPr>
                <w:ilvl w:val="0"/>
                <w:numId w:val="4"/>
              </w:numPr>
              <w:rPr>
                <w:sz w:val="20"/>
                <w:szCs w:val="20"/>
              </w:rPr>
            </w:pPr>
            <w:r>
              <w:t>Marina Gómez Torres</w:t>
            </w:r>
            <w:r w:rsidR="002D0D41">
              <w:t xml:space="preserve">, </w:t>
            </w:r>
            <w:r w:rsidR="002D0D41" w:rsidRPr="002D0D41">
              <w:t>Coordinadora de calidad  de la Unidad de Técnicos de Laboratorio de Apoyo a Departamentos, Institutos y Centros de Investigación</w:t>
            </w:r>
          </w:p>
        </w:tc>
      </w:tr>
    </w:tbl>
    <w:p w:rsidR="00907D79" w:rsidRDefault="00907D79" w:rsidP="00BB07E5">
      <w:pPr>
        <w:rPr>
          <w:b/>
        </w:rPr>
      </w:pPr>
    </w:p>
    <w:p w:rsidR="00BB07E5" w:rsidRDefault="00BB07E5" w:rsidP="00BB07E5">
      <w:pPr>
        <w:rPr>
          <w:b/>
        </w:rPr>
      </w:pPr>
      <w:r>
        <w:rPr>
          <w:b/>
        </w:rPr>
        <w:t>INFORME GENERAL</w:t>
      </w:r>
    </w:p>
    <w:p w:rsidR="00D61161" w:rsidRDefault="00D61161" w:rsidP="00BB07E5">
      <w:pPr>
        <w:rPr>
          <w:b/>
        </w:rPr>
      </w:pPr>
    </w:p>
    <w:tbl>
      <w:tblPr>
        <w:tblStyle w:val="Tablaconcuadrcula"/>
        <w:tblW w:w="9892" w:type="dxa"/>
        <w:tblLayout w:type="fixed"/>
        <w:tblLook w:val="04A0" w:firstRow="1" w:lastRow="0" w:firstColumn="1" w:lastColumn="0" w:noHBand="0" w:noVBand="1"/>
      </w:tblPr>
      <w:tblGrid>
        <w:gridCol w:w="1951"/>
        <w:gridCol w:w="7941"/>
      </w:tblGrid>
      <w:tr w:rsidR="0003401F" w:rsidRPr="006E0748" w:rsidTr="008574EB">
        <w:trPr>
          <w:trHeight w:val="423"/>
        </w:trPr>
        <w:tc>
          <w:tcPr>
            <w:tcW w:w="9892" w:type="dxa"/>
            <w:gridSpan w:val="2"/>
            <w:tcBorders>
              <w:bottom w:val="single" w:sz="4" w:space="0" w:color="auto"/>
            </w:tcBorders>
            <w:shd w:val="clear" w:color="auto" w:fill="F2F2F2" w:themeFill="background1" w:themeFillShade="F2"/>
          </w:tcPr>
          <w:p w:rsidR="0003401F" w:rsidRPr="006E0748" w:rsidRDefault="0003401F" w:rsidP="00F41C5C">
            <w:pPr>
              <w:jc w:val="center"/>
              <w:rPr>
                <w:color w:val="365F91" w:themeColor="accent1" w:themeShade="BF"/>
              </w:rPr>
            </w:pPr>
            <w:r>
              <w:rPr>
                <w:b/>
              </w:rPr>
              <w:t xml:space="preserve">OBJETIVOS DE </w:t>
            </w:r>
            <w:r w:rsidR="008574EB">
              <w:rPr>
                <w:b/>
              </w:rPr>
              <w:t>AUDITORÍA:</w:t>
            </w:r>
            <w:r w:rsidR="00F41C5C">
              <w:rPr>
                <w:b/>
              </w:rPr>
              <w:t xml:space="preserve"> AUDITORÍA DE SISTEMA/PROCESOS</w:t>
            </w:r>
          </w:p>
        </w:tc>
      </w:tr>
      <w:tr w:rsidR="00BB07E5" w:rsidRPr="006E0748" w:rsidTr="008574EB">
        <w:trPr>
          <w:trHeight w:val="423"/>
        </w:trPr>
        <w:tc>
          <w:tcPr>
            <w:tcW w:w="1951" w:type="dxa"/>
            <w:vAlign w:val="center"/>
          </w:tcPr>
          <w:p w:rsidR="00BB07E5" w:rsidRPr="006E0748" w:rsidRDefault="00BB07E5" w:rsidP="00BB07E5">
            <w:pPr>
              <w:rPr>
                <w:color w:val="365F91" w:themeColor="accent1" w:themeShade="BF"/>
              </w:rPr>
            </w:pPr>
            <w:r>
              <w:rPr>
                <w:b/>
              </w:rPr>
              <w:t xml:space="preserve">Procesos de la </w:t>
            </w:r>
            <w:r w:rsidRPr="00BB07E5">
              <w:rPr>
                <w:b/>
              </w:rPr>
              <w:t>Unidad</w:t>
            </w:r>
          </w:p>
        </w:tc>
        <w:tc>
          <w:tcPr>
            <w:tcW w:w="7941" w:type="dxa"/>
            <w:vAlign w:val="center"/>
          </w:tcPr>
          <w:p w:rsidR="00BB07E5" w:rsidRPr="001633AC" w:rsidRDefault="00DC27ED" w:rsidP="006E6F9A">
            <w:pPr>
              <w:rPr>
                <w:b/>
              </w:rPr>
            </w:pPr>
            <w:r>
              <w:t>Unidad de Técnicos de Laboratorio de Apoyo a Departamentos, Institutos y Centros de Investigación</w:t>
            </w:r>
          </w:p>
        </w:tc>
      </w:tr>
      <w:tr w:rsidR="00B168D6" w:rsidRPr="00BB07E5" w:rsidTr="00DF5AFB">
        <w:trPr>
          <w:trHeight w:val="423"/>
        </w:trPr>
        <w:tc>
          <w:tcPr>
            <w:tcW w:w="9892" w:type="dxa"/>
            <w:gridSpan w:val="2"/>
            <w:vAlign w:val="center"/>
          </w:tcPr>
          <w:p w:rsidR="00B168D6" w:rsidRPr="00BB07E5" w:rsidRDefault="00B168D6" w:rsidP="00B168D6">
            <w:r>
              <w:rPr>
                <w:b/>
              </w:rPr>
              <w:t xml:space="preserve">No conformidades. </w:t>
            </w:r>
            <w:r w:rsidRPr="001F1644">
              <w:rPr>
                <w:rFonts w:ascii="Calibri" w:eastAsia="Calibri" w:hAnsi="Calibri"/>
              </w:rPr>
              <w:t xml:space="preserve">Verificación </w:t>
            </w:r>
            <w:r>
              <w:rPr>
                <w:rFonts w:ascii="Calibri" w:eastAsia="Calibri" w:hAnsi="Calibri"/>
              </w:rPr>
              <w:t>y cierre de las correcciones, acciones correctivas y acciones preventivas de los planes correspondientes de las No conformidades internas.</w:t>
            </w:r>
          </w:p>
        </w:tc>
      </w:tr>
      <w:tr w:rsidR="00B168D6" w:rsidTr="00DF5AFB">
        <w:tc>
          <w:tcPr>
            <w:tcW w:w="1951" w:type="dxa"/>
          </w:tcPr>
          <w:p w:rsidR="00B168D6" w:rsidRPr="008574EB" w:rsidRDefault="00B168D6" w:rsidP="00DF5AFB">
            <w:pPr>
              <w:rPr>
                <w:b/>
              </w:rPr>
            </w:pPr>
            <w:r w:rsidRPr="008574EB">
              <w:rPr>
                <w:b/>
              </w:rPr>
              <w:t>Valoración.</w:t>
            </w:r>
          </w:p>
        </w:tc>
        <w:tc>
          <w:tcPr>
            <w:tcW w:w="7941" w:type="dxa"/>
          </w:tcPr>
          <w:p w:rsidR="00B168D6" w:rsidRDefault="0023343E" w:rsidP="00DF5AFB">
            <w:pPr>
              <w:pStyle w:val="Prrafodelista"/>
              <w:numPr>
                <w:ilvl w:val="0"/>
                <w:numId w:val="14"/>
              </w:numPr>
            </w:pPr>
            <w:r>
              <w:t>No disponen de No conformidades Internas.</w:t>
            </w:r>
          </w:p>
        </w:tc>
      </w:tr>
      <w:tr w:rsidR="008574EB" w:rsidRPr="00BB07E5" w:rsidTr="00717BEB">
        <w:trPr>
          <w:trHeight w:val="423"/>
        </w:trPr>
        <w:tc>
          <w:tcPr>
            <w:tcW w:w="9892" w:type="dxa"/>
            <w:gridSpan w:val="2"/>
            <w:vAlign w:val="center"/>
          </w:tcPr>
          <w:p w:rsidR="008574EB" w:rsidRPr="00BB07E5" w:rsidRDefault="008574EB" w:rsidP="002C6041">
            <w:r>
              <w:rPr>
                <w:b/>
              </w:rPr>
              <w:t xml:space="preserve">Indicadores. </w:t>
            </w:r>
          </w:p>
        </w:tc>
      </w:tr>
      <w:tr w:rsidR="008574EB" w:rsidTr="008574EB">
        <w:tc>
          <w:tcPr>
            <w:tcW w:w="1951" w:type="dxa"/>
          </w:tcPr>
          <w:p w:rsidR="008574EB" w:rsidRPr="008574EB" w:rsidRDefault="008574EB" w:rsidP="00747FCE">
            <w:pPr>
              <w:rPr>
                <w:b/>
              </w:rPr>
            </w:pPr>
            <w:r w:rsidRPr="008574EB">
              <w:rPr>
                <w:b/>
              </w:rPr>
              <w:t>Valoración.</w:t>
            </w:r>
          </w:p>
        </w:tc>
        <w:tc>
          <w:tcPr>
            <w:tcW w:w="7941" w:type="dxa"/>
          </w:tcPr>
          <w:p w:rsidR="00063CD3" w:rsidRDefault="004E1100" w:rsidP="00DC27ED">
            <w:pPr>
              <w:pStyle w:val="Prrafodelista"/>
              <w:numPr>
                <w:ilvl w:val="0"/>
                <w:numId w:val="14"/>
              </w:numPr>
            </w:pPr>
            <w:r w:rsidRPr="002E2935">
              <w:t xml:space="preserve">Se verifica </w:t>
            </w:r>
            <w:r>
              <w:t xml:space="preserve">que la Unidad ha realizado las mediciones periódicas de los indicadores </w:t>
            </w:r>
            <w:r w:rsidRPr="00B52166">
              <w:t xml:space="preserve">con valor objetivo del proceso  </w:t>
            </w:r>
            <w:r>
              <w:t>de acuerdo con la planificación de sus fichas de indicadores y el cumplimiento de los valores objetivos establecidos</w:t>
            </w:r>
            <w:r w:rsidR="003F79C7">
              <w:t xml:space="preserve"> para todos los indicadores</w:t>
            </w:r>
            <w:r>
              <w:t>.</w:t>
            </w:r>
          </w:p>
        </w:tc>
      </w:tr>
      <w:tr w:rsidR="00F41C5C" w:rsidTr="008574EB">
        <w:tc>
          <w:tcPr>
            <w:tcW w:w="1951" w:type="dxa"/>
          </w:tcPr>
          <w:p w:rsidR="00F41C5C" w:rsidRPr="008574EB" w:rsidRDefault="00F41C5C" w:rsidP="00747FCE">
            <w:pPr>
              <w:rPr>
                <w:b/>
              </w:rPr>
            </w:pPr>
            <w:r w:rsidRPr="008574EB">
              <w:rPr>
                <w:b/>
              </w:rPr>
              <w:t>Observaciones/</w:t>
            </w:r>
          </w:p>
          <w:p w:rsidR="00F41C5C" w:rsidRDefault="00F41C5C" w:rsidP="00747FCE">
            <w:r w:rsidRPr="008574EB">
              <w:rPr>
                <w:b/>
              </w:rPr>
              <w:t>Recomendaciones</w:t>
            </w:r>
          </w:p>
        </w:tc>
        <w:tc>
          <w:tcPr>
            <w:tcW w:w="7941" w:type="dxa"/>
          </w:tcPr>
          <w:p w:rsidR="003F79C7" w:rsidRDefault="00DC27ED" w:rsidP="003F79C7">
            <w:r>
              <w:t>Se observa el ajuste general de los valores objetivo de los distintos indicadores, si bien el indicador I</w:t>
            </w:r>
            <w:proofErr w:type="gramStart"/>
            <w:r>
              <w:t>.[</w:t>
            </w:r>
            <w:proofErr w:type="gramEnd"/>
            <w:r>
              <w:t>PC 08.2]-08 en sus cuatro apartados presenta mediciones muy superiores al objetivo establecido, se recomienda la continuidad de análisis en el futuro por si fuese viable el establecimiento de valores objetivos más acordes a la capacidad real del proceso, ya que las alegaciones presentadas durante la visita de auditoría invitan a no modificarlos en la actualidad.</w:t>
            </w:r>
          </w:p>
        </w:tc>
      </w:tr>
      <w:tr w:rsidR="00F41C5C" w:rsidRPr="00BB07E5" w:rsidTr="008574EB">
        <w:trPr>
          <w:trHeight w:val="423"/>
        </w:trPr>
        <w:tc>
          <w:tcPr>
            <w:tcW w:w="9892" w:type="dxa"/>
            <w:gridSpan w:val="2"/>
            <w:vAlign w:val="center"/>
          </w:tcPr>
          <w:p w:rsidR="00F41C5C" w:rsidRPr="00BB07E5" w:rsidRDefault="00F41C5C" w:rsidP="009C6632">
            <w:r>
              <w:rPr>
                <w:rFonts w:ascii="Calibri" w:hAnsi="Calibri"/>
                <w:b/>
              </w:rPr>
              <w:t>Q</w:t>
            </w:r>
            <w:r w:rsidRPr="00750017">
              <w:rPr>
                <w:rFonts w:ascii="Calibri" w:hAnsi="Calibri"/>
                <w:b/>
              </w:rPr>
              <w:t>uejas y sugerencias</w:t>
            </w:r>
            <w:r>
              <w:rPr>
                <w:rFonts w:ascii="Calibri" w:hAnsi="Calibri"/>
                <w:b/>
              </w:rPr>
              <w:t>.</w:t>
            </w:r>
            <w:r w:rsidRPr="00033B6F">
              <w:rPr>
                <w:rFonts w:ascii="Calibri" w:hAnsi="Calibri"/>
              </w:rPr>
              <w:t xml:space="preserve"> Verificación de </w:t>
            </w:r>
            <w:r>
              <w:rPr>
                <w:rFonts w:ascii="Calibri" w:hAnsi="Calibri"/>
              </w:rPr>
              <w:t xml:space="preserve">la gestión </w:t>
            </w:r>
            <w:r w:rsidRPr="008574EB">
              <w:rPr>
                <w:rFonts w:ascii="Calibri" w:hAnsi="Calibri"/>
              </w:rPr>
              <w:t>de quejas y sugerencias</w:t>
            </w:r>
            <w:r w:rsidR="00314915">
              <w:rPr>
                <w:rFonts w:ascii="Calibri" w:hAnsi="Calibri"/>
              </w:rPr>
              <w:t xml:space="preserve"> y</w:t>
            </w:r>
            <w:r w:rsidRPr="00F41C5C">
              <w:rPr>
                <w:rFonts w:ascii="Calibri" w:hAnsi="Calibri"/>
              </w:rPr>
              <w:t>, en su caso, la propuesta  coherente de implantación de acciones de mejora en este ámbito.</w:t>
            </w:r>
          </w:p>
        </w:tc>
      </w:tr>
      <w:tr w:rsidR="00F41C5C" w:rsidTr="009C6632">
        <w:tc>
          <w:tcPr>
            <w:tcW w:w="1951" w:type="dxa"/>
          </w:tcPr>
          <w:p w:rsidR="00F41C5C" w:rsidRPr="008574EB" w:rsidRDefault="00F41C5C" w:rsidP="009C6632">
            <w:pPr>
              <w:rPr>
                <w:b/>
              </w:rPr>
            </w:pPr>
            <w:r w:rsidRPr="008574EB">
              <w:rPr>
                <w:b/>
              </w:rPr>
              <w:t>Valoración.</w:t>
            </w:r>
          </w:p>
        </w:tc>
        <w:tc>
          <w:tcPr>
            <w:tcW w:w="7941" w:type="dxa"/>
          </w:tcPr>
          <w:p w:rsidR="00F41C5C" w:rsidRDefault="00DC27ED" w:rsidP="004E1100">
            <w:pPr>
              <w:pStyle w:val="Prrafodelista"/>
              <w:numPr>
                <w:ilvl w:val="0"/>
                <w:numId w:val="14"/>
              </w:numPr>
            </w:pPr>
            <w:r>
              <w:rPr>
                <w:sz w:val="24"/>
              </w:rPr>
              <w:t>No se han presentado Quejas ni Sugerencias por ningún canal, ya sea informal o informal, a la Unidad.</w:t>
            </w:r>
          </w:p>
        </w:tc>
      </w:tr>
      <w:tr w:rsidR="00F41C5C" w:rsidTr="009C6632">
        <w:tc>
          <w:tcPr>
            <w:tcW w:w="1951" w:type="dxa"/>
          </w:tcPr>
          <w:p w:rsidR="00F41C5C" w:rsidRPr="008574EB" w:rsidRDefault="00F41C5C" w:rsidP="009C6632">
            <w:pPr>
              <w:rPr>
                <w:b/>
              </w:rPr>
            </w:pPr>
            <w:r w:rsidRPr="008574EB">
              <w:rPr>
                <w:b/>
              </w:rPr>
              <w:t>Observaciones/</w:t>
            </w:r>
          </w:p>
          <w:p w:rsidR="00F41C5C" w:rsidRDefault="00F41C5C" w:rsidP="009C6632">
            <w:r w:rsidRPr="008574EB">
              <w:rPr>
                <w:b/>
              </w:rPr>
              <w:t>Recomendaciones</w:t>
            </w:r>
          </w:p>
        </w:tc>
        <w:tc>
          <w:tcPr>
            <w:tcW w:w="7941" w:type="dxa"/>
          </w:tcPr>
          <w:p w:rsidR="004E1100" w:rsidRDefault="004E1100" w:rsidP="00E21886"/>
        </w:tc>
      </w:tr>
      <w:tr w:rsidR="00F41C5C" w:rsidRPr="00BB07E5" w:rsidTr="009C6632">
        <w:trPr>
          <w:trHeight w:val="423"/>
        </w:trPr>
        <w:tc>
          <w:tcPr>
            <w:tcW w:w="9892" w:type="dxa"/>
            <w:gridSpan w:val="2"/>
            <w:vAlign w:val="center"/>
          </w:tcPr>
          <w:p w:rsidR="00F41C5C" w:rsidRPr="00BB07E5" w:rsidRDefault="00F41C5C" w:rsidP="00314915">
            <w:r>
              <w:rPr>
                <w:rFonts w:ascii="Calibri" w:eastAsia="Calibri" w:hAnsi="Calibri"/>
                <w:b/>
              </w:rPr>
              <w:t>Compromisos de calidad incumplidos</w:t>
            </w:r>
            <w:r w:rsidRPr="001F1644">
              <w:rPr>
                <w:rFonts w:ascii="Calibri" w:eastAsia="Calibri" w:hAnsi="Calibri"/>
              </w:rPr>
              <w:t xml:space="preserve">. Verificación de las </w:t>
            </w:r>
            <w:r>
              <w:rPr>
                <w:rFonts w:ascii="Calibri" w:eastAsia="Calibri" w:hAnsi="Calibri"/>
              </w:rPr>
              <w:t xml:space="preserve">mejoras implantadas en relación con los compromisos de calidad incumplidos en el ciclo </w:t>
            </w:r>
            <w:r w:rsidR="00314915">
              <w:rPr>
                <w:rFonts w:ascii="Calibri" w:eastAsia="Calibri" w:hAnsi="Calibri"/>
              </w:rPr>
              <w:t xml:space="preserve">de gestión </w:t>
            </w:r>
            <w:r>
              <w:rPr>
                <w:rFonts w:ascii="Calibri" w:eastAsia="Calibri" w:hAnsi="Calibri"/>
              </w:rPr>
              <w:t>anterior</w:t>
            </w:r>
            <w:r w:rsidR="00314915">
              <w:rPr>
                <w:rFonts w:ascii="Calibri" w:eastAsia="Calibri" w:hAnsi="Calibri"/>
              </w:rPr>
              <w:t>.</w:t>
            </w:r>
          </w:p>
        </w:tc>
      </w:tr>
      <w:tr w:rsidR="00F41C5C" w:rsidTr="009C6632">
        <w:tc>
          <w:tcPr>
            <w:tcW w:w="1951" w:type="dxa"/>
          </w:tcPr>
          <w:p w:rsidR="00F41C5C" w:rsidRPr="008574EB" w:rsidRDefault="00F41C5C" w:rsidP="009C6632">
            <w:pPr>
              <w:rPr>
                <w:b/>
              </w:rPr>
            </w:pPr>
            <w:r w:rsidRPr="008574EB">
              <w:rPr>
                <w:b/>
              </w:rPr>
              <w:t>Valoración.</w:t>
            </w:r>
          </w:p>
        </w:tc>
        <w:tc>
          <w:tcPr>
            <w:tcW w:w="7941" w:type="dxa"/>
          </w:tcPr>
          <w:p w:rsidR="00F41C5C" w:rsidRDefault="0023343E" w:rsidP="00587571">
            <w:pPr>
              <w:pStyle w:val="Prrafodelista"/>
              <w:ind w:left="34"/>
            </w:pPr>
            <w:r>
              <w:t xml:space="preserve">La Unidad </w:t>
            </w:r>
            <w:r w:rsidR="00587571">
              <w:t>no presentó compromisos de calidad incumplidos durante el ciclo de gestión de 2014.</w:t>
            </w:r>
          </w:p>
        </w:tc>
      </w:tr>
      <w:tr w:rsidR="00F41C5C" w:rsidTr="009C6632">
        <w:tc>
          <w:tcPr>
            <w:tcW w:w="1951" w:type="dxa"/>
          </w:tcPr>
          <w:p w:rsidR="00F41C5C" w:rsidRPr="008574EB" w:rsidRDefault="00F41C5C" w:rsidP="009C6632">
            <w:pPr>
              <w:rPr>
                <w:b/>
              </w:rPr>
            </w:pPr>
            <w:r w:rsidRPr="008574EB">
              <w:rPr>
                <w:b/>
              </w:rPr>
              <w:t>Observaciones/</w:t>
            </w:r>
          </w:p>
          <w:p w:rsidR="00F41C5C" w:rsidRDefault="00F41C5C" w:rsidP="009C6632">
            <w:r w:rsidRPr="008574EB">
              <w:rPr>
                <w:b/>
              </w:rPr>
              <w:t>Recomendaciones</w:t>
            </w:r>
          </w:p>
        </w:tc>
        <w:tc>
          <w:tcPr>
            <w:tcW w:w="7941" w:type="dxa"/>
          </w:tcPr>
          <w:p w:rsidR="00F41C5C" w:rsidRDefault="00F41C5C" w:rsidP="003F79C7">
            <w:pPr>
              <w:pStyle w:val="Prrafodelista"/>
              <w:ind w:left="0"/>
            </w:pPr>
          </w:p>
        </w:tc>
      </w:tr>
      <w:tr w:rsidR="00F41C5C" w:rsidTr="00BA74CA">
        <w:tc>
          <w:tcPr>
            <w:tcW w:w="9892" w:type="dxa"/>
            <w:gridSpan w:val="2"/>
          </w:tcPr>
          <w:p w:rsidR="00F41C5C" w:rsidRPr="00F41C5C" w:rsidRDefault="00F41C5C" w:rsidP="00F41C5C">
            <w:r w:rsidRPr="00F41C5C">
              <w:rPr>
                <w:b/>
              </w:rPr>
              <w:t>Instrucciones técnicas</w:t>
            </w:r>
            <w:r>
              <w:rPr>
                <w:b/>
              </w:rPr>
              <w:t xml:space="preserve">. </w:t>
            </w:r>
            <w:r>
              <w:t>Verificación de la conformidad de la gestión de los procesos a las Instrucciones Técnicas aplicadas según la documentación de los procesos.</w:t>
            </w:r>
          </w:p>
        </w:tc>
      </w:tr>
      <w:tr w:rsidR="00F41C5C" w:rsidTr="009C6632">
        <w:tc>
          <w:tcPr>
            <w:tcW w:w="1951" w:type="dxa"/>
          </w:tcPr>
          <w:p w:rsidR="00F41C5C" w:rsidRDefault="00F41C5C" w:rsidP="009C6632">
            <w:pPr>
              <w:rPr>
                <w:b/>
              </w:rPr>
            </w:pPr>
            <w:r w:rsidRPr="008574EB">
              <w:rPr>
                <w:b/>
              </w:rPr>
              <w:t>Valoración.</w:t>
            </w:r>
          </w:p>
        </w:tc>
        <w:tc>
          <w:tcPr>
            <w:tcW w:w="7941" w:type="dxa"/>
          </w:tcPr>
          <w:p w:rsidR="00907D79" w:rsidRDefault="00907D79" w:rsidP="00907D79">
            <w:pPr>
              <w:pStyle w:val="Prrafodelista"/>
              <w:numPr>
                <w:ilvl w:val="0"/>
                <w:numId w:val="14"/>
              </w:numPr>
            </w:pPr>
            <w:r>
              <w:t>Se verifica la inclusión de la Instrucciones Técnicas seleccionadas en la documentación del proceso.</w:t>
            </w:r>
          </w:p>
          <w:p w:rsidR="00F41C5C" w:rsidRDefault="00907D79" w:rsidP="00907D79">
            <w:pPr>
              <w:pStyle w:val="Prrafodelista"/>
              <w:numPr>
                <w:ilvl w:val="0"/>
                <w:numId w:val="14"/>
              </w:numPr>
            </w:pPr>
            <w:r>
              <w:t>Se verifica la conformidad de la gestión del proceso a las Instrucciones Técnicas seleccionadas a través de la aplicación de sus previsiones.</w:t>
            </w:r>
          </w:p>
        </w:tc>
      </w:tr>
      <w:tr w:rsidR="00F41C5C" w:rsidTr="009C6632">
        <w:tc>
          <w:tcPr>
            <w:tcW w:w="1951" w:type="dxa"/>
          </w:tcPr>
          <w:p w:rsidR="00F41C5C" w:rsidRPr="008574EB" w:rsidRDefault="00F41C5C" w:rsidP="00F41C5C">
            <w:pPr>
              <w:rPr>
                <w:b/>
              </w:rPr>
            </w:pPr>
            <w:r w:rsidRPr="008574EB">
              <w:rPr>
                <w:b/>
              </w:rPr>
              <w:t>Observaciones/</w:t>
            </w:r>
          </w:p>
          <w:p w:rsidR="00F41C5C" w:rsidRPr="008574EB" w:rsidRDefault="00F41C5C" w:rsidP="00F41C5C">
            <w:pPr>
              <w:rPr>
                <w:b/>
              </w:rPr>
            </w:pPr>
            <w:r w:rsidRPr="008574EB">
              <w:rPr>
                <w:b/>
              </w:rPr>
              <w:lastRenderedPageBreak/>
              <w:t>Recomendaciones</w:t>
            </w:r>
          </w:p>
        </w:tc>
        <w:tc>
          <w:tcPr>
            <w:tcW w:w="7941" w:type="dxa"/>
          </w:tcPr>
          <w:p w:rsidR="00E51FCC" w:rsidRDefault="00E51FCC" w:rsidP="00E51FCC"/>
          <w:p w:rsidR="00E51FCC" w:rsidRPr="00E21886" w:rsidRDefault="00E51FCC" w:rsidP="00E51FCC">
            <w:pPr>
              <w:rPr>
                <w:rFonts w:ascii="Times New Roman" w:hAnsi="Times New Roman" w:cs="Times New Roman"/>
                <w:sz w:val="24"/>
                <w:szCs w:val="24"/>
              </w:rPr>
            </w:pPr>
          </w:p>
        </w:tc>
      </w:tr>
      <w:tr w:rsidR="00A56B15" w:rsidTr="00D4505B">
        <w:tc>
          <w:tcPr>
            <w:tcW w:w="9892" w:type="dxa"/>
            <w:gridSpan w:val="2"/>
          </w:tcPr>
          <w:p w:rsidR="00A56B15" w:rsidRDefault="00A56B15" w:rsidP="00F443CB">
            <w:pPr>
              <w:rPr>
                <w:b/>
              </w:rPr>
            </w:pPr>
            <w:r>
              <w:rPr>
                <w:b/>
              </w:rPr>
              <w:lastRenderedPageBreak/>
              <w:t>Formatos. Verificación de la adecuación de los formatos  a los registros que soportan</w:t>
            </w:r>
            <w:r w:rsidR="002C01D0">
              <w:rPr>
                <w:b/>
              </w:rPr>
              <w:t>.</w:t>
            </w:r>
          </w:p>
        </w:tc>
      </w:tr>
      <w:tr w:rsidR="00063CD3" w:rsidTr="009C6632">
        <w:tc>
          <w:tcPr>
            <w:tcW w:w="1951" w:type="dxa"/>
          </w:tcPr>
          <w:p w:rsidR="00063CD3" w:rsidRPr="008574EB" w:rsidRDefault="00A56B15" w:rsidP="00F41C5C">
            <w:pPr>
              <w:rPr>
                <w:b/>
              </w:rPr>
            </w:pPr>
            <w:r>
              <w:rPr>
                <w:b/>
              </w:rPr>
              <w:t>Valoración.</w:t>
            </w:r>
          </w:p>
        </w:tc>
        <w:tc>
          <w:tcPr>
            <w:tcW w:w="7941" w:type="dxa"/>
          </w:tcPr>
          <w:p w:rsidR="00063CD3" w:rsidRPr="002C01D0" w:rsidRDefault="00A56B15" w:rsidP="002C01D0">
            <w:pPr>
              <w:pStyle w:val="Prrafodelista"/>
              <w:numPr>
                <w:ilvl w:val="0"/>
                <w:numId w:val="4"/>
              </w:numPr>
            </w:pPr>
            <w:r w:rsidRPr="002C01D0">
              <w:t xml:space="preserve">Se verifica la inclusión del Formatos </w:t>
            </w:r>
            <w:r w:rsidR="00587571">
              <w:t>F</w:t>
            </w:r>
            <w:proofErr w:type="gramStart"/>
            <w:r w:rsidR="00587571">
              <w:t>.[</w:t>
            </w:r>
            <w:proofErr w:type="gramEnd"/>
            <w:r w:rsidR="00587571">
              <w:t xml:space="preserve">PC08.2]-08 “Solicitud Electrónica de Apoyo Científico-Tecnológico a la Docencia y a la Investigación” </w:t>
            </w:r>
            <w:r w:rsidRPr="002C01D0">
              <w:t xml:space="preserve">seleccionado </w:t>
            </w:r>
            <w:r w:rsidR="00587571">
              <w:t xml:space="preserve">para auditoría </w:t>
            </w:r>
            <w:r w:rsidRPr="002C01D0">
              <w:t>en la documentación del proceso.</w:t>
            </w:r>
            <w:r w:rsidR="00587571">
              <w:t xml:space="preserve"> Se verifica su adecuación a los registros que soporta.</w:t>
            </w:r>
          </w:p>
          <w:p w:rsidR="00A56B15" w:rsidRPr="002C01D0" w:rsidRDefault="00587571" w:rsidP="00587571">
            <w:pPr>
              <w:pStyle w:val="Prrafodelista"/>
              <w:numPr>
                <w:ilvl w:val="0"/>
                <w:numId w:val="4"/>
              </w:numPr>
              <w:rPr>
                <w:b/>
              </w:rPr>
            </w:pPr>
            <w:r>
              <w:t>No se puede verificar la inclusión del formato F</w:t>
            </w:r>
            <w:proofErr w:type="gramStart"/>
            <w:r>
              <w:t>.[</w:t>
            </w:r>
            <w:proofErr w:type="gramEnd"/>
            <w:r>
              <w:t>PC 08.2]-12 “Comunicación Electrónica de Incidencias en Equipos de Docencia e Investigación”. La Unidad indica que no existe el formato, no perteneciendo a la Unidad.</w:t>
            </w:r>
          </w:p>
        </w:tc>
      </w:tr>
      <w:tr w:rsidR="00063CD3" w:rsidTr="002D0D41">
        <w:tc>
          <w:tcPr>
            <w:tcW w:w="1951" w:type="dxa"/>
            <w:tcBorders>
              <w:bottom w:val="single" w:sz="2" w:space="0" w:color="auto"/>
            </w:tcBorders>
          </w:tcPr>
          <w:p w:rsidR="002C01D0" w:rsidRPr="008574EB" w:rsidRDefault="002C01D0" w:rsidP="002C01D0">
            <w:pPr>
              <w:rPr>
                <w:b/>
              </w:rPr>
            </w:pPr>
            <w:r w:rsidRPr="008574EB">
              <w:rPr>
                <w:b/>
              </w:rPr>
              <w:t>Observaciones/</w:t>
            </w:r>
          </w:p>
          <w:p w:rsidR="00063CD3" w:rsidRPr="008574EB" w:rsidRDefault="002C01D0" w:rsidP="002C01D0">
            <w:pPr>
              <w:rPr>
                <w:b/>
              </w:rPr>
            </w:pPr>
            <w:r w:rsidRPr="008574EB">
              <w:rPr>
                <w:b/>
              </w:rPr>
              <w:t>Recomendaciones</w:t>
            </w:r>
          </w:p>
        </w:tc>
        <w:tc>
          <w:tcPr>
            <w:tcW w:w="7941" w:type="dxa"/>
            <w:tcBorders>
              <w:bottom w:val="single" w:sz="2" w:space="0" w:color="auto"/>
            </w:tcBorders>
          </w:tcPr>
          <w:p w:rsidR="00E51FCC" w:rsidRPr="00E21886" w:rsidRDefault="00587571" w:rsidP="00F443CB">
            <w:r>
              <w:t>Se recomienda a la unidad que revise la documentación de los formatos de los que realmente son propietarios con e</w:t>
            </w:r>
            <w:bookmarkStart w:id="0" w:name="_GoBack"/>
            <w:bookmarkEnd w:id="0"/>
            <w:r>
              <w:t>l objeto de mantener la documentación del sistema actualizada.</w:t>
            </w:r>
          </w:p>
        </w:tc>
      </w:tr>
      <w:tr w:rsidR="0096573B" w:rsidTr="002D0D41">
        <w:tc>
          <w:tcPr>
            <w:tcW w:w="9892" w:type="dxa"/>
            <w:gridSpan w:val="2"/>
            <w:tcBorders>
              <w:top w:val="single" w:sz="2" w:space="0" w:color="auto"/>
              <w:left w:val="single" w:sz="2" w:space="0" w:color="auto"/>
              <w:bottom w:val="single" w:sz="2" w:space="0" w:color="auto"/>
              <w:right w:val="single" w:sz="2" w:space="0" w:color="auto"/>
            </w:tcBorders>
          </w:tcPr>
          <w:p w:rsidR="0096573B" w:rsidRDefault="0024475E" w:rsidP="0024475E">
            <w:pPr>
              <w:rPr>
                <w:b/>
              </w:rPr>
            </w:pPr>
            <w:r>
              <w:rPr>
                <w:b/>
              </w:rPr>
              <w:t xml:space="preserve">Encuestas: </w:t>
            </w:r>
            <w:r w:rsidRPr="0052070A">
              <w:rPr>
                <w:rFonts w:ascii="Calibri" w:eastAsia="Calibri" w:hAnsi="Calibri"/>
              </w:rPr>
              <w:t>Verificación de la realización de las encuestas correspondientes a los grupos de interés del proceso, así como, a fecha de auditoría, del seguimiento de los índices de participación y resultados obtenidos; en su caso, realización de acciones de mejora necesarias.</w:t>
            </w:r>
          </w:p>
        </w:tc>
      </w:tr>
      <w:tr w:rsidR="0096573B" w:rsidTr="002D0D41">
        <w:tc>
          <w:tcPr>
            <w:tcW w:w="1951" w:type="dxa"/>
            <w:tcBorders>
              <w:top w:val="single" w:sz="2" w:space="0" w:color="auto"/>
              <w:left w:val="single" w:sz="2" w:space="0" w:color="auto"/>
              <w:bottom w:val="single" w:sz="2" w:space="0" w:color="auto"/>
              <w:right w:val="single" w:sz="2" w:space="0" w:color="auto"/>
            </w:tcBorders>
          </w:tcPr>
          <w:p w:rsidR="0096573B" w:rsidRPr="008574EB" w:rsidRDefault="006E5B37" w:rsidP="006E5B37">
            <w:pPr>
              <w:rPr>
                <w:b/>
              </w:rPr>
            </w:pPr>
            <w:r>
              <w:rPr>
                <w:b/>
              </w:rPr>
              <w:t>Encuestas de Satisfacción General</w:t>
            </w:r>
          </w:p>
        </w:tc>
        <w:tc>
          <w:tcPr>
            <w:tcW w:w="7941" w:type="dxa"/>
            <w:tcBorders>
              <w:top w:val="single" w:sz="2" w:space="0" w:color="auto"/>
              <w:left w:val="single" w:sz="2" w:space="0" w:color="auto"/>
              <w:bottom w:val="single" w:sz="2" w:space="0" w:color="auto"/>
              <w:right w:val="single" w:sz="2" w:space="0" w:color="auto"/>
            </w:tcBorders>
          </w:tcPr>
          <w:p w:rsidR="0096573B" w:rsidRPr="006E5B37" w:rsidRDefault="00440E09" w:rsidP="0023343E">
            <w:pPr>
              <w:spacing w:after="200"/>
            </w:pPr>
            <w:r>
              <w:t>La encuesta de Satisfacción General EG-16-PC08 se lanzó el 13 de Junio de 2015, emitiéndose informe de resultados y ficha técnica de la misma el 17 de Julio de 2015.</w:t>
            </w:r>
          </w:p>
        </w:tc>
      </w:tr>
      <w:tr w:rsidR="006E5B37" w:rsidTr="002D0D41">
        <w:tc>
          <w:tcPr>
            <w:tcW w:w="1951" w:type="dxa"/>
            <w:tcBorders>
              <w:top w:val="single" w:sz="2" w:space="0" w:color="auto"/>
              <w:left w:val="single" w:sz="2" w:space="0" w:color="auto"/>
              <w:bottom w:val="single" w:sz="2" w:space="0" w:color="auto"/>
              <w:right w:val="single" w:sz="2" w:space="0" w:color="auto"/>
            </w:tcBorders>
          </w:tcPr>
          <w:p w:rsidR="006E5B37" w:rsidRPr="008574EB" w:rsidRDefault="006E5B37" w:rsidP="00AC236B">
            <w:pPr>
              <w:rPr>
                <w:b/>
              </w:rPr>
            </w:pPr>
            <w:r w:rsidRPr="008574EB">
              <w:rPr>
                <w:b/>
              </w:rPr>
              <w:t>Observaciones/</w:t>
            </w:r>
          </w:p>
          <w:p w:rsidR="006E5B37" w:rsidRPr="008574EB" w:rsidRDefault="006E5B37" w:rsidP="00AC236B">
            <w:pPr>
              <w:rPr>
                <w:b/>
              </w:rPr>
            </w:pPr>
            <w:r w:rsidRPr="008574EB">
              <w:rPr>
                <w:b/>
              </w:rPr>
              <w:t>Recomendaciones</w:t>
            </w:r>
          </w:p>
        </w:tc>
        <w:tc>
          <w:tcPr>
            <w:tcW w:w="7941" w:type="dxa"/>
            <w:tcBorders>
              <w:top w:val="single" w:sz="2" w:space="0" w:color="auto"/>
              <w:left w:val="single" w:sz="2" w:space="0" w:color="auto"/>
              <w:bottom w:val="single" w:sz="2" w:space="0" w:color="auto"/>
              <w:right w:val="single" w:sz="2" w:space="0" w:color="auto"/>
            </w:tcBorders>
          </w:tcPr>
          <w:p w:rsidR="006E5B37" w:rsidRPr="00587571" w:rsidRDefault="00440E09" w:rsidP="00440E09">
            <w:r>
              <w:t>Se recomienda el análisis del Informe de Resultados de la Encuesta de Satisfacción General por parte de la Unidad con el objetivo de poder valorar los resultados obtenidos por la Unidad en el primer semestre de 2015 y, en su caso, implantar acciones de mejora para mejorar los índices de participación en la misma.</w:t>
            </w:r>
          </w:p>
        </w:tc>
      </w:tr>
      <w:tr w:rsidR="006E5B37" w:rsidTr="002D0D41">
        <w:tc>
          <w:tcPr>
            <w:tcW w:w="1951" w:type="dxa"/>
            <w:tcBorders>
              <w:top w:val="single" w:sz="2" w:space="0" w:color="auto"/>
              <w:left w:val="single" w:sz="2" w:space="0" w:color="auto"/>
              <w:bottom w:val="single" w:sz="2" w:space="0" w:color="auto"/>
              <w:right w:val="single" w:sz="2" w:space="0" w:color="auto"/>
            </w:tcBorders>
          </w:tcPr>
          <w:p w:rsidR="006E5B37" w:rsidRPr="008574EB" w:rsidRDefault="006E5B37" w:rsidP="002C01D0">
            <w:pPr>
              <w:rPr>
                <w:b/>
              </w:rPr>
            </w:pPr>
            <w:r>
              <w:rPr>
                <w:b/>
              </w:rPr>
              <w:t>Encuestas Post-servicio</w:t>
            </w:r>
          </w:p>
        </w:tc>
        <w:tc>
          <w:tcPr>
            <w:tcW w:w="7941" w:type="dxa"/>
            <w:tcBorders>
              <w:top w:val="single" w:sz="2" w:space="0" w:color="auto"/>
              <w:left w:val="single" w:sz="2" w:space="0" w:color="auto"/>
              <w:bottom w:val="single" w:sz="2" w:space="0" w:color="auto"/>
              <w:right w:val="single" w:sz="2" w:space="0" w:color="auto"/>
            </w:tcBorders>
          </w:tcPr>
          <w:p w:rsidR="006E5B37" w:rsidRPr="006E5B37" w:rsidRDefault="00E21886" w:rsidP="00440E09">
            <w:r w:rsidRPr="006E5B37">
              <w:t>Se Verifica la realización de las encuesta correspondiente</w:t>
            </w:r>
            <w:r w:rsidR="00440E09">
              <w:t xml:space="preserve"> y</w:t>
            </w:r>
            <w:r w:rsidRPr="006E5B37">
              <w:t xml:space="preserve"> los resultados</w:t>
            </w:r>
            <w:r>
              <w:t xml:space="preserve"> parciales obtenidos</w:t>
            </w:r>
            <w:r w:rsidRPr="006E5B37">
              <w:t xml:space="preserve">, </w:t>
            </w:r>
            <w:r w:rsidR="00440E09">
              <w:t>quedando pendiente de análisis una vez se hayan obtenido los resultados anuales.</w:t>
            </w:r>
          </w:p>
        </w:tc>
      </w:tr>
      <w:tr w:rsidR="006E5B37" w:rsidTr="002D0D41">
        <w:tc>
          <w:tcPr>
            <w:tcW w:w="1951" w:type="dxa"/>
            <w:tcBorders>
              <w:top w:val="single" w:sz="2" w:space="0" w:color="auto"/>
              <w:left w:val="single" w:sz="2" w:space="0" w:color="auto"/>
              <w:bottom w:val="single" w:sz="2" w:space="0" w:color="auto"/>
              <w:right w:val="single" w:sz="2" w:space="0" w:color="auto"/>
            </w:tcBorders>
          </w:tcPr>
          <w:p w:rsidR="006E5B37" w:rsidRPr="008574EB" w:rsidRDefault="006E5B37" w:rsidP="006E5B37">
            <w:pPr>
              <w:rPr>
                <w:b/>
              </w:rPr>
            </w:pPr>
            <w:r w:rsidRPr="008574EB">
              <w:rPr>
                <w:b/>
              </w:rPr>
              <w:t>Observaciones/</w:t>
            </w:r>
          </w:p>
          <w:p w:rsidR="006E5B37" w:rsidRDefault="006E5B37" w:rsidP="006E5B37">
            <w:pPr>
              <w:rPr>
                <w:b/>
              </w:rPr>
            </w:pPr>
            <w:r w:rsidRPr="008574EB">
              <w:rPr>
                <w:b/>
              </w:rPr>
              <w:t>Recomendaciones</w:t>
            </w:r>
          </w:p>
        </w:tc>
        <w:tc>
          <w:tcPr>
            <w:tcW w:w="7941" w:type="dxa"/>
            <w:tcBorders>
              <w:top w:val="single" w:sz="2" w:space="0" w:color="auto"/>
              <w:left w:val="single" w:sz="2" w:space="0" w:color="auto"/>
              <w:bottom w:val="single" w:sz="2" w:space="0" w:color="auto"/>
              <w:right w:val="single" w:sz="2" w:space="0" w:color="auto"/>
            </w:tcBorders>
          </w:tcPr>
          <w:p w:rsidR="006E5B37" w:rsidRDefault="00E21886" w:rsidP="00AC236B">
            <w:pPr>
              <w:rPr>
                <w:rFonts w:ascii="Calibri" w:hAnsi="Calibri"/>
                <w:color w:val="000000"/>
              </w:rPr>
            </w:pPr>
            <w:r>
              <w:rPr>
                <w:rFonts w:ascii="Calibri" w:hAnsi="Calibri"/>
                <w:color w:val="000000"/>
              </w:rPr>
              <w:t>EP-</w:t>
            </w:r>
            <w:r w:rsidR="00440E09">
              <w:rPr>
                <w:rFonts w:ascii="Calibri" w:hAnsi="Calibri"/>
                <w:color w:val="000000"/>
              </w:rPr>
              <w:t>42</w:t>
            </w:r>
            <w:r>
              <w:rPr>
                <w:rFonts w:ascii="Calibri" w:hAnsi="Calibri"/>
                <w:color w:val="000000"/>
              </w:rPr>
              <w:t>-PC0</w:t>
            </w:r>
            <w:r w:rsidR="00E51FCC">
              <w:rPr>
                <w:rFonts w:ascii="Calibri" w:hAnsi="Calibri"/>
                <w:color w:val="000000"/>
              </w:rPr>
              <w:t>8</w:t>
            </w:r>
            <w:r>
              <w:rPr>
                <w:rFonts w:ascii="Calibri" w:hAnsi="Calibri"/>
                <w:color w:val="000000"/>
              </w:rPr>
              <w:t xml:space="preserve"> </w:t>
            </w:r>
            <w:r w:rsidR="00440E09">
              <w:rPr>
                <w:rFonts w:ascii="Calibri" w:hAnsi="Calibri"/>
                <w:color w:val="000000"/>
              </w:rPr>
              <w:t>Resolución Práctica de Consulta, apoyo a la Docencia y Apoyo a la Investigación.</w:t>
            </w:r>
          </w:p>
          <w:p w:rsidR="00E21886" w:rsidRPr="006E5B37" w:rsidRDefault="00440E09" w:rsidP="00AC236B">
            <w:r>
              <w:t>Se valora positivamente los resultados obtenidos en el primer semestre del ciclo de gestión 2015, superando los valores obtenidos en el ciclo de gestión anterior.</w:t>
            </w:r>
          </w:p>
        </w:tc>
      </w:tr>
    </w:tbl>
    <w:p w:rsidR="008574EB" w:rsidRDefault="008574EB" w:rsidP="00907D79"/>
    <w:sectPr w:rsidR="008574EB" w:rsidSect="00352E82">
      <w:headerReference w:type="default" r:id="rId9"/>
      <w:footerReference w:type="default" r:id="rId10"/>
      <w:pgSz w:w="11906" w:h="16838"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D3" w:rsidRDefault="004B68D3" w:rsidP="00323545">
      <w:pPr>
        <w:spacing w:line="240" w:lineRule="auto"/>
      </w:pPr>
      <w:r>
        <w:separator/>
      </w:r>
    </w:p>
  </w:endnote>
  <w:endnote w:type="continuationSeparator" w:id="0">
    <w:p w:rsidR="004B68D3" w:rsidRDefault="004B68D3"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BF" w:rsidRDefault="00D715BF"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rsidR="00680FBF">
      <w:fldChar w:fldCharType="begin"/>
    </w:r>
    <w:r w:rsidR="008E3820">
      <w:instrText xml:space="preserve"> PAGE </w:instrText>
    </w:r>
    <w:r w:rsidR="00680FBF">
      <w:fldChar w:fldCharType="separate"/>
    </w:r>
    <w:r w:rsidR="002D0D41">
      <w:rPr>
        <w:noProof/>
      </w:rPr>
      <w:t>1</w:t>
    </w:r>
    <w:r w:rsidR="00680FBF">
      <w:rPr>
        <w:noProof/>
      </w:rPr>
      <w:fldChar w:fldCharType="end"/>
    </w:r>
    <w:r>
      <w:t xml:space="preserve"> de </w:t>
    </w:r>
    <w:fldSimple w:instr=" NUMPAGES  ">
      <w:r w:rsidR="002D0D41">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D3" w:rsidRDefault="004B68D3" w:rsidP="00323545">
      <w:pPr>
        <w:spacing w:line="240" w:lineRule="auto"/>
      </w:pPr>
      <w:r>
        <w:separator/>
      </w:r>
    </w:p>
  </w:footnote>
  <w:footnote w:type="continuationSeparator" w:id="0">
    <w:p w:rsidR="004B68D3" w:rsidRDefault="004B68D3"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D715BF" w:rsidTr="00B97F47">
      <w:trPr>
        <w:trHeight w:val="480"/>
        <w:jc w:val="center"/>
      </w:trPr>
      <w:tc>
        <w:tcPr>
          <w:tcW w:w="2467" w:type="dxa"/>
          <w:vMerge w:val="restart"/>
          <w:tcBorders>
            <w:top w:val="single" w:sz="8" w:space="0" w:color="A6A6A6"/>
            <w:left w:val="nil"/>
            <w:bottom w:val="single" w:sz="8" w:space="0" w:color="A6A6A6"/>
            <w:right w:val="nil"/>
          </w:tcBorders>
        </w:tcPr>
        <w:p w:rsidR="00D715BF" w:rsidRDefault="00D715BF"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1029E8C5" wp14:editId="32D39007">
                <wp:extent cx="1247775" cy="390525"/>
                <wp:effectExtent l="19050" t="0" r="952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D715BF" w:rsidRPr="00EA013B" w:rsidRDefault="00D715BF" w:rsidP="00B97F47">
          <w:pPr>
            <w:pStyle w:val="Encabezado"/>
            <w:jc w:val="center"/>
            <w:rPr>
              <w:color w:val="808080"/>
            </w:rPr>
          </w:pPr>
          <w:r>
            <w:rPr>
              <w:noProof/>
            </w:rPr>
            <w:drawing>
              <wp:inline distT="0" distB="0" distL="0" distR="0" wp14:anchorId="79493ACD" wp14:editId="0961B7A6">
                <wp:extent cx="819150" cy="657225"/>
                <wp:effectExtent l="0" t="0" r="0" b="0"/>
                <wp:docPr id="2"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D715BF" w:rsidRPr="00EA013B" w:rsidRDefault="00D715BF" w:rsidP="00AE1AE6">
          <w:pPr>
            <w:jc w:val="both"/>
            <w:rPr>
              <w:b/>
              <w:noProof/>
              <w:color w:val="808080"/>
              <w:sz w:val="20"/>
              <w:szCs w:val="20"/>
            </w:rPr>
          </w:pPr>
          <w:r>
            <w:rPr>
              <w:b/>
              <w:noProof/>
              <w:color w:val="808080"/>
              <w:sz w:val="20"/>
              <w:szCs w:val="20"/>
            </w:rPr>
            <w:t xml:space="preserve">Auditoría Interna </w:t>
          </w:r>
          <w:r w:rsidR="00660D83">
            <w:rPr>
              <w:b/>
              <w:noProof/>
              <w:color w:val="808080"/>
              <w:sz w:val="20"/>
              <w:szCs w:val="20"/>
            </w:rPr>
            <w:t>de Seguimiento.</w:t>
          </w:r>
          <w:r>
            <w:rPr>
              <w:b/>
              <w:noProof/>
              <w:color w:val="808080"/>
              <w:sz w:val="20"/>
              <w:szCs w:val="20"/>
            </w:rPr>
            <w:t xml:space="preserve"> Ciclo de Gestión 201</w:t>
          </w:r>
          <w:r w:rsidR="00AE1AE6">
            <w:rPr>
              <w:b/>
              <w:noProof/>
              <w:color w:val="808080"/>
              <w:sz w:val="20"/>
              <w:szCs w:val="20"/>
            </w:rPr>
            <w:t>5</w:t>
          </w:r>
        </w:p>
      </w:tc>
    </w:tr>
    <w:tr w:rsidR="00D715BF" w:rsidRPr="006A30E0" w:rsidTr="00B97F47">
      <w:trPr>
        <w:trHeight w:val="198"/>
        <w:jc w:val="center"/>
      </w:trPr>
      <w:tc>
        <w:tcPr>
          <w:tcW w:w="2467" w:type="dxa"/>
          <w:vMerge/>
          <w:tcBorders>
            <w:top w:val="nil"/>
            <w:left w:val="nil"/>
            <w:bottom w:val="single" w:sz="8" w:space="0" w:color="A6A6A6"/>
            <w:right w:val="nil"/>
          </w:tcBorders>
        </w:tcPr>
        <w:p w:rsidR="00D715BF" w:rsidRDefault="00D715BF" w:rsidP="00B97F47">
          <w:pPr>
            <w:pStyle w:val="Encabezado"/>
            <w:rPr>
              <w:noProof/>
            </w:rPr>
          </w:pPr>
        </w:p>
      </w:tc>
      <w:tc>
        <w:tcPr>
          <w:tcW w:w="2469" w:type="dxa"/>
          <w:vMerge/>
          <w:tcBorders>
            <w:left w:val="nil"/>
            <w:bottom w:val="single" w:sz="8" w:space="0" w:color="A6A6A6"/>
          </w:tcBorders>
          <w:vAlign w:val="center"/>
        </w:tcPr>
        <w:p w:rsidR="00D715BF" w:rsidRPr="00EA013B" w:rsidRDefault="00D715BF" w:rsidP="00B97F47">
          <w:pPr>
            <w:pStyle w:val="Encabezado"/>
            <w:rPr>
              <w:b/>
              <w:color w:val="808080"/>
            </w:rPr>
          </w:pPr>
        </w:p>
      </w:tc>
      <w:tc>
        <w:tcPr>
          <w:tcW w:w="4758" w:type="dxa"/>
          <w:tcBorders>
            <w:top w:val="single" w:sz="8" w:space="0" w:color="A6A6A6"/>
            <w:bottom w:val="single" w:sz="8" w:space="0" w:color="A6A6A6"/>
            <w:right w:val="nil"/>
          </w:tcBorders>
          <w:vAlign w:val="center"/>
        </w:tcPr>
        <w:p w:rsidR="00D715BF" w:rsidRPr="006A30E0" w:rsidRDefault="002D0D41" w:rsidP="00AE1AE6">
          <w:pPr>
            <w:rPr>
              <w:b/>
              <w:noProof/>
              <w:color w:val="808080"/>
              <w:sz w:val="20"/>
              <w:szCs w:val="20"/>
              <w:lang w:val="en-US"/>
            </w:rPr>
          </w:pPr>
          <w:r>
            <w:rPr>
              <w:b/>
              <w:noProof/>
              <w:color w:val="808080"/>
              <w:sz w:val="20"/>
              <w:szCs w:val="20"/>
              <w:lang w:val="en-US"/>
            </w:rPr>
            <w:t>02-10-</w:t>
          </w:r>
          <w:r w:rsidR="00D715BF">
            <w:rPr>
              <w:b/>
              <w:noProof/>
              <w:color w:val="808080"/>
              <w:sz w:val="20"/>
              <w:szCs w:val="20"/>
              <w:lang w:val="en-US"/>
            </w:rPr>
            <w:t>201</w:t>
          </w:r>
          <w:r w:rsidR="00AE1AE6">
            <w:rPr>
              <w:b/>
              <w:noProof/>
              <w:color w:val="808080"/>
              <w:sz w:val="20"/>
              <w:szCs w:val="20"/>
              <w:lang w:val="en-US"/>
            </w:rPr>
            <w:t>5</w:t>
          </w:r>
        </w:p>
      </w:tc>
    </w:tr>
  </w:tbl>
  <w:p w:rsidR="00D715BF" w:rsidRDefault="00D715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B10"/>
    <w:multiLevelType w:val="hybridMultilevel"/>
    <w:tmpl w:val="2970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C6480"/>
    <w:multiLevelType w:val="hybridMultilevel"/>
    <w:tmpl w:val="960238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C3F56AC"/>
    <w:multiLevelType w:val="hybridMultilevel"/>
    <w:tmpl w:val="BC547B7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014135"/>
    <w:multiLevelType w:val="hybridMultilevel"/>
    <w:tmpl w:val="4816E36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85E256D"/>
    <w:multiLevelType w:val="hybridMultilevel"/>
    <w:tmpl w:val="2272EE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420167F7"/>
    <w:multiLevelType w:val="hybridMultilevel"/>
    <w:tmpl w:val="59AC88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78A3371"/>
    <w:multiLevelType w:val="hybridMultilevel"/>
    <w:tmpl w:val="B18CE5B2"/>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98C3B2E"/>
    <w:multiLevelType w:val="hybridMultilevel"/>
    <w:tmpl w:val="2970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3439CC"/>
    <w:multiLevelType w:val="hybridMultilevel"/>
    <w:tmpl w:val="3F4002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DC25E9A"/>
    <w:multiLevelType w:val="hybridMultilevel"/>
    <w:tmpl w:val="2E0C039A"/>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54174EB"/>
    <w:multiLevelType w:val="hybridMultilevel"/>
    <w:tmpl w:val="3DBA85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B4E00CC"/>
    <w:multiLevelType w:val="hybridMultilevel"/>
    <w:tmpl w:val="964C6E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DD4478D"/>
    <w:multiLevelType w:val="hybridMultilevel"/>
    <w:tmpl w:val="E0DCF3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24003D8"/>
    <w:multiLevelType w:val="hybridMultilevel"/>
    <w:tmpl w:val="B70484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9B935C8"/>
    <w:multiLevelType w:val="hybridMultilevel"/>
    <w:tmpl w:val="117AB13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FFF5485"/>
    <w:multiLevelType w:val="hybridMultilevel"/>
    <w:tmpl w:val="0D9EA18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1092CFF"/>
    <w:multiLevelType w:val="hybridMultilevel"/>
    <w:tmpl w:val="889C498A"/>
    <w:lvl w:ilvl="0" w:tplc="DBD28D70">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564E57"/>
    <w:multiLevelType w:val="hybridMultilevel"/>
    <w:tmpl w:val="8ED883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15B7C0B"/>
    <w:multiLevelType w:val="hybridMultilevel"/>
    <w:tmpl w:val="B94292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17325F5"/>
    <w:multiLevelType w:val="hybridMultilevel"/>
    <w:tmpl w:val="C83E8D9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3E26FCA"/>
    <w:multiLevelType w:val="hybridMultilevel"/>
    <w:tmpl w:val="83D29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D866083"/>
    <w:multiLevelType w:val="hybridMultilevel"/>
    <w:tmpl w:val="C19E4B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6"/>
  </w:num>
  <w:num w:numId="7">
    <w:abstractNumId w:val="12"/>
  </w:num>
  <w:num w:numId="8">
    <w:abstractNumId w:val="4"/>
  </w:num>
  <w:num w:numId="9">
    <w:abstractNumId w:val="24"/>
  </w:num>
  <w:num w:numId="10">
    <w:abstractNumId w:val="3"/>
  </w:num>
  <w:num w:numId="11">
    <w:abstractNumId w:val="10"/>
  </w:num>
  <w:num w:numId="12">
    <w:abstractNumId w:val="0"/>
  </w:num>
  <w:num w:numId="13">
    <w:abstractNumId w:val="18"/>
  </w:num>
  <w:num w:numId="14">
    <w:abstractNumId w:val="19"/>
  </w:num>
  <w:num w:numId="15">
    <w:abstractNumId w:val="14"/>
  </w:num>
  <w:num w:numId="16">
    <w:abstractNumId w:val="7"/>
  </w:num>
  <w:num w:numId="17">
    <w:abstractNumId w:val="15"/>
  </w:num>
  <w:num w:numId="18">
    <w:abstractNumId w:val="25"/>
  </w:num>
  <w:num w:numId="19">
    <w:abstractNumId w:val="23"/>
  </w:num>
  <w:num w:numId="20">
    <w:abstractNumId w:val="17"/>
  </w:num>
  <w:num w:numId="21">
    <w:abstractNumId w:val="22"/>
  </w:num>
  <w:num w:numId="22">
    <w:abstractNumId w:val="5"/>
  </w:num>
  <w:num w:numId="23">
    <w:abstractNumId w:val="11"/>
  </w:num>
  <w:num w:numId="24">
    <w:abstractNumId w:val="21"/>
  </w:num>
  <w:num w:numId="25">
    <w:abstractNumId w:val="26"/>
  </w:num>
  <w:num w:numId="26">
    <w:abstractNumId w:val="16"/>
  </w:num>
  <w:num w:numId="27">
    <w:abstractNumId w:val="2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40C5"/>
    <w:rsid w:val="00013E71"/>
    <w:rsid w:val="00017CD5"/>
    <w:rsid w:val="000267A6"/>
    <w:rsid w:val="0003401F"/>
    <w:rsid w:val="000638F2"/>
    <w:rsid w:val="00063CD3"/>
    <w:rsid w:val="00065B74"/>
    <w:rsid w:val="00072A35"/>
    <w:rsid w:val="00083203"/>
    <w:rsid w:val="000836F0"/>
    <w:rsid w:val="000909B0"/>
    <w:rsid w:val="000A2776"/>
    <w:rsid w:val="000B042C"/>
    <w:rsid w:val="000B166E"/>
    <w:rsid w:val="000B6DCC"/>
    <w:rsid w:val="000C1287"/>
    <w:rsid w:val="000C19A4"/>
    <w:rsid w:val="000C599F"/>
    <w:rsid w:val="000C6D91"/>
    <w:rsid w:val="000D147D"/>
    <w:rsid w:val="000D6B84"/>
    <w:rsid w:val="000E2197"/>
    <w:rsid w:val="000E2CC3"/>
    <w:rsid w:val="000E4E23"/>
    <w:rsid w:val="000F1E78"/>
    <w:rsid w:val="000F576E"/>
    <w:rsid w:val="00112597"/>
    <w:rsid w:val="00123C15"/>
    <w:rsid w:val="001313AD"/>
    <w:rsid w:val="00144FFE"/>
    <w:rsid w:val="001633AC"/>
    <w:rsid w:val="00175B20"/>
    <w:rsid w:val="0018686F"/>
    <w:rsid w:val="00190731"/>
    <w:rsid w:val="0019613A"/>
    <w:rsid w:val="001A3EED"/>
    <w:rsid w:val="001A56AE"/>
    <w:rsid w:val="001B1774"/>
    <w:rsid w:val="001C7FBC"/>
    <w:rsid w:val="001E6474"/>
    <w:rsid w:val="001F5D77"/>
    <w:rsid w:val="00212C53"/>
    <w:rsid w:val="002151D9"/>
    <w:rsid w:val="00216ED3"/>
    <w:rsid w:val="002247AD"/>
    <w:rsid w:val="0023343E"/>
    <w:rsid w:val="0024475E"/>
    <w:rsid w:val="0024554B"/>
    <w:rsid w:val="00252C56"/>
    <w:rsid w:val="0025429F"/>
    <w:rsid w:val="00255A3F"/>
    <w:rsid w:val="00261873"/>
    <w:rsid w:val="00275DD5"/>
    <w:rsid w:val="00295A2A"/>
    <w:rsid w:val="00296377"/>
    <w:rsid w:val="002C01D0"/>
    <w:rsid w:val="002C54C3"/>
    <w:rsid w:val="002C6041"/>
    <w:rsid w:val="002C63CE"/>
    <w:rsid w:val="002D0D41"/>
    <w:rsid w:val="002E3F44"/>
    <w:rsid w:val="002F6FF3"/>
    <w:rsid w:val="002F7651"/>
    <w:rsid w:val="00314915"/>
    <w:rsid w:val="00323545"/>
    <w:rsid w:val="00330286"/>
    <w:rsid w:val="0033546F"/>
    <w:rsid w:val="00352E82"/>
    <w:rsid w:val="00366BEB"/>
    <w:rsid w:val="00383B6D"/>
    <w:rsid w:val="003A47C6"/>
    <w:rsid w:val="003A5B4C"/>
    <w:rsid w:val="003C4CDA"/>
    <w:rsid w:val="003D546F"/>
    <w:rsid w:val="003E0A5E"/>
    <w:rsid w:val="003E5898"/>
    <w:rsid w:val="003E5C00"/>
    <w:rsid w:val="003F79C7"/>
    <w:rsid w:val="00404559"/>
    <w:rsid w:val="00412B22"/>
    <w:rsid w:val="00414E9E"/>
    <w:rsid w:val="00415128"/>
    <w:rsid w:val="004247B6"/>
    <w:rsid w:val="00440E09"/>
    <w:rsid w:val="004447B5"/>
    <w:rsid w:val="00446225"/>
    <w:rsid w:val="00446E19"/>
    <w:rsid w:val="00456D7E"/>
    <w:rsid w:val="004727D4"/>
    <w:rsid w:val="004747D9"/>
    <w:rsid w:val="004959F3"/>
    <w:rsid w:val="004B3D59"/>
    <w:rsid w:val="004B408C"/>
    <w:rsid w:val="004B4C29"/>
    <w:rsid w:val="004B6142"/>
    <w:rsid w:val="004B68D3"/>
    <w:rsid w:val="004E1100"/>
    <w:rsid w:val="004E1371"/>
    <w:rsid w:val="004E365C"/>
    <w:rsid w:val="004E571A"/>
    <w:rsid w:val="00506910"/>
    <w:rsid w:val="005153D5"/>
    <w:rsid w:val="005211A9"/>
    <w:rsid w:val="0052398F"/>
    <w:rsid w:val="005278EC"/>
    <w:rsid w:val="00540F91"/>
    <w:rsid w:val="00555520"/>
    <w:rsid w:val="00557CCB"/>
    <w:rsid w:val="0056531F"/>
    <w:rsid w:val="005654D2"/>
    <w:rsid w:val="0056751E"/>
    <w:rsid w:val="00582EBF"/>
    <w:rsid w:val="0058677C"/>
    <w:rsid w:val="005871C3"/>
    <w:rsid w:val="00587354"/>
    <w:rsid w:val="00587571"/>
    <w:rsid w:val="00592B84"/>
    <w:rsid w:val="00595FBF"/>
    <w:rsid w:val="005A25B4"/>
    <w:rsid w:val="005B4EF5"/>
    <w:rsid w:val="005D2531"/>
    <w:rsid w:val="00603A58"/>
    <w:rsid w:val="0061559F"/>
    <w:rsid w:val="00616F9F"/>
    <w:rsid w:val="00644EFC"/>
    <w:rsid w:val="00656039"/>
    <w:rsid w:val="00660D83"/>
    <w:rsid w:val="006761FB"/>
    <w:rsid w:val="00680FBF"/>
    <w:rsid w:val="006866BD"/>
    <w:rsid w:val="006A068B"/>
    <w:rsid w:val="006C1405"/>
    <w:rsid w:val="006D1D8D"/>
    <w:rsid w:val="006E0215"/>
    <w:rsid w:val="006E0748"/>
    <w:rsid w:val="006E54CD"/>
    <w:rsid w:val="006E5B37"/>
    <w:rsid w:val="006E6F9A"/>
    <w:rsid w:val="006F629D"/>
    <w:rsid w:val="00712433"/>
    <w:rsid w:val="00717BEB"/>
    <w:rsid w:val="00746C4E"/>
    <w:rsid w:val="00747FCE"/>
    <w:rsid w:val="00772B5D"/>
    <w:rsid w:val="00772E88"/>
    <w:rsid w:val="007741B1"/>
    <w:rsid w:val="00774659"/>
    <w:rsid w:val="00774F35"/>
    <w:rsid w:val="00780D3C"/>
    <w:rsid w:val="00791B88"/>
    <w:rsid w:val="007924BD"/>
    <w:rsid w:val="007A5525"/>
    <w:rsid w:val="007B3213"/>
    <w:rsid w:val="007B5643"/>
    <w:rsid w:val="007B7DEE"/>
    <w:rsid w:val="007C66A3"/>
    <w:rsid w:val="007D3492"/>
    <w:rsid w:val="007E23E8"/>
    <w:rsid w:val="007F7506"/>
    <w:rsid w:val="008360C2"/>
    <w:rsid w:val="00853CE4"/>
    <w:rsid w:val="00856F2A"/>
    <w:rsid w:val="008574EB"/>
    <w:rsid w:val="00860B3D"/>
    <w:rsid w:val="00861895"/>
    <w:rsid w:val="00864A79"/>
    <w:rsid w:val="00876FE3"/>
    <w:rsid w:val="00892353"/>
    <w:rsid w:val="008C2A46"/>
    <w:rsid w:val="008D06CF"/>
    <w:rsid w:val="008D47A9"/>
    <w:rsid w:val="008E3820"/>
    <w:rsid w:val="008E53F8"/>
    <w:rsid w:val="008E6563"/>
    <w:rsid w:val="008F56F1"/>
    <w:rsid w:val="00900CFA"/>
    <w:rsid w:val="0090655B"/>
    <w:rsid w:val="00907D79"/>
    <w:rsid w:val="00912DAA"/>
    <w:rsid w:val="00920987"/>
    <w:rsid w:val="00937566"/>
    <w:rsid w:val="00941D35"/>
    <w:rsid w:val="00947AE4"/>
    <w:rsid w:val="00952DD2"/>
    <w:rsid w:val="00961B56"/>
    <w:rsid w:val="009628E2"/>
    <w:rsid w:val="0096573B"/>
    <w:rsid w:val="00984C58"/>
    <w:rsid w:val="00990646"/>
    <w:rsid w:val="009944C7"/>
    <w:rsid w:val="009966E6"/>
    <w:rsid w:val="009B03D7"/>
    <w:rsid w:val="009B689A"/>
    <w:rsid w:val="009C3E57"/>
    <w:rsid w:val="009D7576"/>
    <w:rsid w:val="009E1FDD"/>
    <w:rsid w:val="009F44F6"/>
    <w:rsid w:val="00A0323D"/>
    <w:rsid w:val="00A048FA"/>
    <w:rsid w:val="00A20198"/>
    <w:rsid w:val="00A44B3F"/>
    <w:rsid w:val="00A514B4"/>
    <w:rsid w:val="00A56B15"/>
    <w:rsid w:val="00A62671"/>
    <w:rsid w:val="00A65680"/>
    <w:rsid w:val="00A6665A"/>
    <w:rsid w:val="00A66B0F"/>
    <w:rsid w:val="00A76A36"/>
    <w:rsid w:val="00A81D88"/>
    <w:rsid w:val="00A81F39"/>
    <w:rsid w:val="00A90A94"/>
    <w:rsid w:val="00A92B4C"/>
    <w:rsid w:val="00AA5457"/>
    <w:rsid w:val="00AB6534"/>
    <w:rsid w:val="00AD77DB"/>
    <w:rsid w:val="00AE1AE6"/>
    <w:rsid w:val="00B00565"/>
    <w:rsid w:val="00B168D6"/>
    <w:rsid w:val="00B20100"/>
    <w:rsid w:val="00B2282C"/>
    <w:rsid w:val="00B2642B"/>
    <w:rsid w:val="00B31819"/>
    <w:rsid w:val="00B456C9"/>
    <w:rsid w:val="00B52166"/>
    <w:rsid w:val="00B547AD"/>
    <w:rsid w:val="00B72B0B"/>
    <w:rsid w:val="00B74726"/>
    <w:rsid w:val="00B959D2"/>
    <w:rsid w:val="00B97F47"/>
    <w:rsid w:val="00BB07E5"/>
    <w:rsid w:val="00BD128E"/>
    <w:rsid w:val="00BF7890"/>
    <w:rsid w:val="00BF7DBA"/>
    <w:rsid w:val="00C157CF"/>
    <w:rsid w:val="00C163C1"/>
    <w:rsid w:val="00C4179E"/>
    <w:rsid w:val="00C42E55"/>
    <w:rsid w:val="00C51983"/>
    <w:rsid w:val="00C75D53"/>
    <w:rsid w:val="00C96F42"/>
    <w:rsid w:val="00CB486F"/>
    <w:rsid w:val="00CD13D7"/>
    <w:rsid w:val="00CD185C"/>
    <w:rsid w:val="00CF6B0E"/>
    <w:rsid w:val="00D12469"/>
    <w:rsid w:val="00D262F8"/>
    <w:rsid w:val="00D607E8"/>
    <w:rsid w:val="00D61161"/>
    <w:rsid w:val="00D64F7E"/>
    <w:rsid w:val="00D715BF"/>
    <w:rsid w:val="00D743B1"/>
    <w:rsid w:val="00D7474F"/>
    <w:rsid w:val="00D752B8"/>
    <w:rsid w:val="00D7617E"/>
    <w:rsid w:val="00D80F23"/>
    <w:rsid w:val="00D82B17"/>
    <w:rsid w:val="00D90DDF"/>
    <w:rsid w:val="00D9147E"/>
    <w:rsid w:val="00DA2373"/>
    <w:rsid w:val="00DB6305"/>
    <w:rsid w:val="00DC27ED"/>
    <w:rsid w:val="00DC7819"/>
    <w:rsid w:val="00DD164F"/>
    <w:rsid w:val="00DD2E68"/>
    <w:rsid w:val="00E104CF"/>
    <w:rsid w:val="00E10F93"/>
    <w:rsid w:val="00E21886"/>
    <w:rsid w:val="00E31E46"/>
    <w:rsid w:val="00E32E94"/>
    <w:rsid w:val="00E3348B"/>
    <w:rsid w:val="00E34BCB"/>
    <w:rsid w:val="00E44330"/>
    <w:rsid w:val="00E44A6D"/>
    <w:rsid w:val="00E45B56"/>
    <w:rsid w:val="00E51FCC"/>
    <w:rsid w:val="00E570D0"/>
    <w:rsid w:val="00E60309"/>
    <w:rsid w:val="00EB52A8"/>
    <w:rsid w:val="00ED145E"/>
    <w:rsid w:val="00EE73BB"/>
    <w:rsid w:val="00F00F06"/>
    <w:rsid w:val="00F12B43"/>
    <w:rsid w:val="00F13EAE"/>
    <w:rsid w:val="00F25576"/>
    <w:rsid w:val="00F260E7"/>
    <w:rsid w:val="00F41C5C"/>
    <w:rsid w:val="00F443CB"/>
    <w:rsid w:val="00F54313"/>
    <w:rsid w:val="00FA1E60"/>
    <w:rsid w:val="00FA4D64"/>
    <w:rsid w:val="00FB2C4D"/>
    <w:rsid w:val="00FC31EE"/>
    <w:rsid w:val="00FF5B6D"/>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E"/>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basedOn w:val="Fuentedeprrafopredeter"/>
    <w:link w:val="Prrafodelista"/>
    <w:uiPriority w:val="34"/>
    <w:rsid w:val="00996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E"/>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basedOn w:val="Fuentedeprrafopredeter"/>
    <w:link w:val="Prrafodelista"/>
    <w:uiPriority w:val="34"/>
    <w:rsid w:val="0099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421729995">
      <w:bodyDiv w:val="1"/>
      <w:marLeft w:val="0"/>
      <w:marRight w:val="0"/>
      <w:marTop w:val="0"/>
      <w:marBottom w:val="0"/>
      <w:divBdr>
        <w:top w:val="none" w:sz="0" w:space="0" w:color="auto"/>
        <w:left w:val="none" w:sz="0" w:space="0" w:color="auto"/>
        <w:bottom w:val="none" w:sz="0" w:space="0" w:color="auto"/>
        <w:right w:val="none" w:sz="0" w:space="0" w:color="auto"/>
      </w:divBdr>
    </w:div>
    <w:div w:id="439300539">
      <w:bodyDiv w:val="1"/>
      <w:marLeft w:val="0"/>
      <w:marRight w:val="0"/>
      <w:marTop w:val="0"/>
      <w:marBottom w:val="0"/>
      <w:divBdr>
        <w:top w:val="none" w:sz="0" w:space="0" w:color="auto"/>
        <w:left w:val="none" w:sz="0" w:space="0" w:color="auto"/>
        <w:bottom w:val="none" w:sz="0" w:space="0" w:color="auto"/>
        <w:right w:val="none" w:sz="0" w:space="0" w:color="auto"/>
      </w:divBdr>
    </w:div>
    <w:div w:id="851988195">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1055809950">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2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4B760-D392-4802-BE57-9A5A7D31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48</cp:revision>
  <cp:lastPrinted>2013-12-20T12:42:00Z</cp:lastPrinted>
  <dcterms:created xsi:type="dcterms:W3CDTF">2014-09-08T07:06:00Z</dcterms:created>
  <dcterms:modified xsi:type="dcterms:W3CDTF">2015-10-02T10:07:00Z</dcterms:modified>
</cp:coreProperties>
</file>