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161" w:rsidRDefault="00D61161"/>
    <w:tbl>
      <w:tblPr>
        <w:tblStyle w:val="Tablaconcuadrcula"/>
        <w:tblW w:w="9889" w:type="dxa"/>
        <w:tblLayout w:type="fixed"/>
        <w:tblLook w:val="04A0" w:firstRow="1" w:lastRow="0" w:firstColumn="1" w:lastColumn="0" w:noHBand="0" w:noVBand="1"/>
      </w:tblPr>
      <w:tblGrid>
        <w:gridCol w:w="1809"/>
        <w:gridCol w:w="426"/>
        <w:gridCol w:w="2409"/>
        <w:gridCol w:w="5245"/>
      </w:tblGrid>
      <w:tr w:rsidR="000836F0" w:rsidTr="00B456C9">
        <w:tc>
          <w:tcPr>
            <w:tcW w:w="9889" w:type="dxa"/>
            <w:gridSpan w:val="4"/>
            <w:tcBorders>
              <w:bottom w:val="single" w:sz="4" w:space="0" w:color="auto"/>
            </w:tcBorders>
            <w:shd w:val="clear" w:color="auto" w:fill="F2F2F2" w:themeFill="background1" w:themeFillShade="F2"/>
          </w:tcPr>
          <w:p w:rsidR="000836F0" w:rsidRPr="006E0748" w:rsidRDefault="000836F0" w:rsidP="00AE1AE6">
            <w:pPr>
              <w:jc w:val="center"/>
            </w:pPr>
            <w:r w:rsidRPr="006E0748">
              <w:rPr>
                <w:rFonts w:ascii="Calibri" w:hAnsi="Calibri"/>
                <w:b/>
              </w:rPr>
              <w:t>INFORME DE AUDITORÍA INTERNA</w:t>
            </w:r>
            <w:r w:rsidR="00660D83">
              <w:rPr>
                <w:rFonts w:ascii="Calibri" w:hAnsi="Calibri"/>
                <w:b/>
              </w:rPr>
              <w:t xml:space="preserve"> DE SEGUIMIENTO</w:t>
            </w:r>
            <w:r w:rsidRPr="006E0748">
              <w:rPr>
                <w:rFonts w:ascii="Calibri" w:hAnsi="Calibri"/>
                <w:b/>
              </w:rPr>
              <w:t xml:space="preserve"> ANUAL 201</w:t>
            </w:r>
            <w:r w:rsidR="00AE1AE6">
              <w:rPr>
                <w:rFonts w:ascii="Calibri" w:hAnsi="Calibri"/>
                <w:b/>
              </w:rPr>
              <w:t>5</w:t>
            </w:r>
            <w:r w:rsidRPr="006E0748">
              <w:rPr>
                <w:rFonts w:ascii="Calibri" w:hAnsi="Calibri"/>
                <w:b/>
              </w:rPr>
              <w:t>.</w:t>
            </w:r>
          </w:p>
        </w:tc>
      </w:tr>
      <w:tr w:rsidR="008D06CF" w:rsidRPr="009C3E57" w:rsidTr="000A14DC">
        <w:trPr>
          <w:trHeight w:val="322"/>
        </w:trPr>
        <w:tc>
          <w:tcPr>
            <w:tcW w:w="1809" w:type="dxa"/>
            <w:tcBorders>
              <w:bottom w:val="single" w:sz="4" w:space="0" w:color="auto"/>
              <w:right w:val="single" w:sz="4" w:space="0" w:color="auto"/>
            </w:tcBorders>
            <w:shd w:val="clear" w:color="auto" w:fill="F2F2F2" w:themeFill="background1" w:themeFillShade="F2"/>
          </w:tcPr>
          <w:p w:rsidR="008D06CF" w:rsidRPr="006E0748" w:rsidRDefault="008D06CF" w:rsidP="00B97F47">
            <w:r w:rsidRPr="006E0748">
              <w:rPr>
                <w:b/>
              </w:rPr>
              <w:t>PROCESO</w:t>
            </w:r>
            <w:r w:rsidRPr="006E0748">
              <w:t xml:space="preserve"> </w:t>
            </w:r>
            <w:r w:rsidRPr="006E0748">
              <w:rPr>
                <w:b/>
              </w:rPr>
              <w:t>CLAVE</w:t>
            </w:r>
          </w:p>
        </w:tc>
        <w:tc>
          <w:tcPr>
            <w:tcW w:w="8080" w:type="dxa"/>
            <w:gridSpan w:val="3"/>
            <w:tcBorders>
              <w:left w:val="single" w:sz="4" w:space="0" w:color="auto"/>
              <w:bottom w:val="single" w:sz="4" w:space="0" w:color="auto"/>
            </w:tcBorders>
          </w:tcPr>
          <w:p w:rsidR="008D06CF" w:rsidRPr="008D06CF" w:rsidRDefault="0023343E" w:rsidP="00277090">
            <w:pPr>
              <w:rPr>
                <w:b/>
              </w:rPr>
            </w:pPr>
            <w:r w:rsidRPr="00D13FE8">
              <w:t>PC 04. GESTIÓN DEL MANTENIMIENTO.</w:t>
            </w:r>
          </w:p>
        </w:tc>
      </w:tr>
      <w:tr w:rsidR="006E0748" w:rsidRPr="000F576E" w:rsidTr="00B456C9">
        <w:tc>
          <w:tcPr>
            <w:tcW w:w="4644" w:type="dxa"/>
            <w:gridSpan w:val="3"/>
            <w:tcBorders>
              <w:right w:val="single" w:sz="4" w:space="0" w:color="auto"/>
            </w:tcBorders>
            <w:shd w:val="clear" w:color="auto" w:fill="F2F2F2" w:themeFill="background1" w:themeFillShade="F2"/>
          </w:tcPr>
          <w:p w:rsidR="006E0748" w:rsidRPr="006E0748" w:rsidRDefault="006E0748" w:rsidP="00B97F47">
            <w:r w:rsidRPr="006E0748">
              <w:rPr>
                <w:b/>
              </w:rPr>
              <w:t>FECHA</w:t>
            </w:r>
            <w:r>
              <w:rPr>
                <w:b/>
              </w:rPr>
              <w:t xml:space="preserve"> DE REALIZACIÓN DE LA AUDITORÍA</w:t>
            </w:r>
            <w:r w:rsidRPr="006E0748">
              <w:rPr>
                <w:b/>
              </w:rPr>
              <w:t xml:space="preserve">: </w:t>
            </w:r>
          </w:p>
        </w:tc>
        <w:tc>
          <w:tcPr>
            <w:tcW w:w="5245" w:type="dxa"/>
            <w:tcBorders>
              <w:left w:val="single" w:sz="4" w:space="0" w:color="auto"/>
            </w:tcBorders>
          </w:tcPr>
          <w:p w:rsidR="006E0748" w:rsidRPr="006E0748" w:rsidRDefault="0023343E" w:rsidP="003E5898">
            <w:r>
              <w:t>16/09/15 - 11:30 h.</w:t>
            </w:r>
          </w:p>
        </w:tc>
      </w:tr>
      <w:tr w:rsidR="006E0748" w:rsidRPr="006E0748" w:rsidTr="00B74726">
        <w:trPr>
          <w:trHeight w:val="845"/>
        </w:trPr>
        <w:tc>
          <w:tcPr>
            <w:tcW w:w="2235" w:type="dxa"/>
            <w:gridSpan w:val="2"/>
            <w:shd w:val="clear" w:color="auto" w:fill="F2F2F2" w:themeFill="background1" w:themeFillShade="F2"/>
            <w:vAlign w:val="center"/>
          </w:tcPr>
          <w:p w:rsidR="006E0748" w:rsidRPr="006E0748" w:rsidRDefault="00B456C9" w:rsidP="00B456C9">
            <w:r>
              <w:rPr>
                <w:b/>
              </w:rPr>
              <w:t>AUDITORES</w:t>
            </w:r>
            <w:r w:rsidR="006E0748" w:rsidRPr="006E0748">
              <w:rPr>
                <w:b/>
              </w:rPr>
              <w:t xml:space="preserve"> </w:t>
            </w:r>
            <w:r>
              <w:rPr>
                <w:b/>
              </w:rPr>
              <w:t>:</w:t>
            </w:r>
          </w:p>
        </w:tc>
        <w:tc>
          <w:tcPr>
            <w:tcW w:w="7654" w:type="dxa"/>
            <w:gridSpan w:val="2"/>
          </w:tcPr>
          <w:p w:rsidR="0023343E" w:rsidRDefault="0023343E" w:rsidP="0023343E">
            <w:pPr>
              <w:pStyle w:val="Prrafodelista"/>
              <w:numPr>
                <w:ilvl w:val="0"/>
                <w:numId w:val="4"/>
              </w:numPr>
              <w:spacing w:after="200"/>
            </w:pPr>
            <w:r>
              <w:t>Auditor coordinador de proceso: Luis Espinosa de los Monteros Moreno.</w:t>
            </w:r>
          </w:p>
          <w:p w:rsidR="006E0748" w:rsidRPr="008D06CF" w:rsidRDefault="0023343E" w:rsidP="0023343E">
            <w:pPr>
              <w:numPr>
                <w:ilvl w:val="0"/>
                <w:numId w:val="4"/>
              </w:numPr>
            </w:pPr>
            <w:r>
              <w:t xml:space="preserve">Auditor/es: </w:t>
            </w:r>
            <w:r w:rsidRPr="00B34B32">
              <w:t>Luis Espinosa de los Monteros Moreno</w:t>
            </w:r>
            <w:r>
              <w:t xml:space="preserve">  y Sebastián Jarillo Calvarro.</w:t>
            </w:r>
          </w:p>
        </w:tc>
      </w:tr>
      <w:tr w:rsidR="00B456C9" w:rsidRPr="006E0748" w:rsidTr="006E6F9A">
        <w:trPr>
          <w:trHeight w:val="982"/>
        </w:trPr>
        <w:tc>
          <w:tcPr>
            <w:tcW w:w="2235" w:type="dxa"/>
            <w:gridSpan w:val="2"/>
            <w:shd w:val="clear" w:color="auto" w:fill="F2F2F2" w:themeFill="background1" w:themeFillShade="F2"/>
            <w:vAlign w:val="center"/>
          </w:tcPr>
          <w:p w:rsidR="00B456C9" w:rsidRPr="006E0748" w:rsidRDefault="00B456C9" w:rsidP="00EB52A8">
            <w:r>
              <w:rPr>
                <w:b/>
              </w:rPr>
              <w:t>RESPONSABLES DE UNIDAD:</w:t>
            </w:r>
          </w:p>
        </w:tc>
        <w:tc>
          <w:tcPr>
            <w:tcW w:w="7654" w:type="dxa"/>
            <w:gridSpan w:val="2"/>
            <w:vAlign w:val="center"/>
          </w:tcPr>
          <w:p w:rsidR="00B456C9" w:rsidRPr="000F1E78" w:rsidRDefault="0023343E" w:rsidP="003E5898">
            <w:pPr>
              <w:numPr>
                <w:ilvl w:val="0"/>
                <w:numId w:val="4"/>
              </w:numPr>
              <w:rPr>
                <w:sz w:val="20"/>
                <w:szCs w:val="20"/>
              </w:rPr>
            </w:pPr>
            <w:r>
              <w:t>Marina Gómez Torres.</w:t>
            </w:r>
          </w:p>
        </w:tc>
      </w:tr>
    </w:tbl>
    <w:p w:rsidR="00907D79" w:rsidRDefault="00907D79" w:rsidP="00BB07E5">
      <w:pPr>
        <w:rPr>
          <w:b/>
        </w:rPr>
      </w:pPr>
    </w:p>
    <w:p w:rsidR="00BB07E5" w:rsidRDefault="00BB07E5" w:rsidP="00BB07E5">
      <w:pPr>
        <w:rPr>
          <w:b/>
        </w:rPr>
      </w:pPr>
      <w:r>
        <w:rPr>
          <w:b/>
        </w:rPr>
        <w:t>INFORME GENERAL</w:t>
      </w:r>
    </w:p>
    <w:p w:rsidR="00D61161" w:rsidRDefault="00D61161" w:rsidP="00BB07E5">
      <w:pPr>
        <w:rPr>
          <w:b/>
        </w:rPr>
      </w:pPr>
    </w:p>
    <w:tbl>
      <w:tblPr>
        <w:tblStyle w:val="Tablaconcuadrcula"/>
        <w:tblW w:w="9892" w:type="dxa"/>
        <w:tblLayout w:type="fixed"/>
        <w:tblLook w:val="04A0" w:firstRow="1" w:lastRow="0" w:firstColumn="1" w:lastColumn="0" w:noHBand="0" w:noVBand="1"/>
      </w:tblPr>
      <w:tblGrid>
        <w:gridCol w:w="1951"/>
        <w:gridCol w:w="7941"/>
      </w:tblGrid>
      <w:tr w:rsidR="0003401F" w:rsidRPr="006E0748" w:rsidTr="008574EB">
        <w:trPr>
          <w:trHeight w:val="423"/>
        </w:trPr>
        <w:tc>
          <w:tcPr>
            <w:tcW w:w="9892" w:type="dxa"/>
            <w:gridSpan w:val="2"/>
            <w:tcBorders>
              <w:bottom w:val="single" w:sz="4" w:space="0" w:color="auto"/>
            </w:tcBorders>
            <w:shd w:val="clear" w:color="auto" w:fill="F2F2F2" w:themeFill="background1" w:themeFillShade="F2"/>
          </w:tcPr>
          <w:p w:rsidR="0003401F" w:rsidRPr="006E0748" w:rsidRDefault="0003401F" w:rsidP="00F41C5C">
            <w:pPr>
              <w:jc w:val="center"/>
              <w:rPr>
                <w:color w:val="365F91" w:themeColor="accent1" w:themeShade="BF"/>
              </w:rPr>
            </w:pPr>
            <w:r>
              <w:rPr>
                <w:b/>
              </w:rPr>
              <w:t xml:space="preserve">OBJETIVOS DE </w:t>
            </w:r>
            <w:r w:rsidR="008574EB">
              <w:rPr>
                <w:b/>
              </w:rPr>
              <w:t>AUDITORÍA:</w:t>
            </w:r>
            <w:r w:rsidR="00F41C5C">
              <w:rPr>
                <w:b/>
              </w:rPr>
              <w:t xml:space="preserve"> AUDITORÍA DE SISTEMA/PROCESOS</w:t>
            </w:r>
          </w:p>
        </w:tc>
      </w:tr>
      <w:tr w:rsidR="00BB07E5" w:rsidRPr="006E0748" w:rsidTr="008574EB">
        <w:trPr>
          <w:trHeight w:val="423"/>
        </w:trPr>
        <w:tc>
          <w:tcPr>
            <w:tcW w:w="1951" w:type="dxa"/>
            <w:vAlign w:val="center"/>
          </w:tcPr>
          <w:p w:rsidR="00BB07E5" w:rsidRPr="006E0748" w:rsidRDefault="00BB07E5" w:rsidP="00BB07E5">
            <w:pPr>
              <w:rPr>
                <w:color w:val="365F91" w:themeColor="accent1" w:themeShade="BF"/>
              </w:rPr>
            </w:pPr>
            <w:r>
              <w:rPr>
                <w:b/>
              </w:rPr>
              <w:t xml:space="preserve">Procesos de la </w:t>
            </w:r>
            <w:r w:rsidRPr="00BB07E5">
              <w:rPr>
                <w:b/>
              </w:rPr>
              <w:t>Unidad</w:t>
            </w:r>
          </w:p>
        </w:tc>
        <w:tc>
          <w:tcPr>
            <w:tcW w:w="7941" w:type="dxa"/>
            <w:vAlign w:val="center"/>
          </w:tcPr>
          <w:p w:rsidR="00BB07E5" w:rsidRPr="001633AC" w:rsidRDefault="0023343E" w:rsidP="006E6F9A">
            <w:pPr>
              <w:rPr>
                <w:b/>
              </w:rPr>
            </w:pPr>
            <w:r>
              <w:t>Unidad Funcional de Técnicos de Laboratorios de Apoyo a Departamentos, Institutos y Centros de Investigación</w:t>
            </w:r>
          </w:p>
        </w:tc>
      </w:tr>
      <w:tr w:rsidR="00B168D6" w:rsidRPr="00BB07E5" w:rsidTr="00DF5AFB">
        <w:trPr>
          <w:trHeight w:val="423"/>
        </w:trPr>
        <w:tc>
          <w:tcPr>
            <w:tcW w:w="9892" w:type="dxa"/>
            <w:gridSpan w:val="2"/>
            <w:vAlign w:val="center"/>
          </w:tcPr>
          <w:p w:rsidR="00B168D6" w:rsidRPr="00BB07E5" w:rsidRDefault="00B168D6" w:rsidP="00B168D6">
            <w:r>
              <w:rPr>
                <w:b/>
              </w:rPr>
              <w:t xml:space="preserve">No conformidades. </w:t>
            </w:r>
            <w:r w:rsidRPr="001F1644">
              <w:rPr>
                <w:rFonts w:ascii="Calibri" w:eastAsia="Calibri" w:hAnsi="Calibri"/>
              </w:rPr>
              <w:t xml:space="preserve">Verificación </w:t>
            </w:r>
            <w:r>
              <w:rPr>
                <w:rFonts w:ascii="Calibri" w:eastAsia="Calibri" w:hAnsi="Calibri"/>
              </w:rPr>
              <w:t>y cierre de las correcciones, acciones correctivas y acciones preventivas de los planes correspondientes de las No conformidades internas.</w:t>
            </w:r>
          </w:p>
        </w:tc>
      </w:tr>
      <w:tr w:rsidR="00B168D6" w:rsidTr="00DF5AFB">
        <w:tc>
          <w:tcPr>
            <w:tcW w:w="1951" w:type="dxa"/>
          </w:tcPr>
          <w:p w:rsidR="00B168D6" w:rsidRPr="008574EB" w:rsidRDefault="00B168D6" w:rsidP="00DF5AFB">
            <w:pPr>
              <w:rPr>
                <w:b/>
              </w:rPr>
            </w:pPr>
            <w:r w:rsidRPr="008574EB">
              <w:rPr>
                <w:b/>
              </w:rPr>
              <w:t>Valoración.</w:t>
            </w:r>
          </w:p>
        </w:tc>
        <w:tc>
          <w:tcPr>
            <w:tcW w:w="7941" w:type="dxa"/>
          </w:tcPr>
          <w:p w:rsidR="00B168D6" w:rsidRDefault="0023343E" w:rsidP="00DF5AFB">
            <w:pPr>
              <w:pStyle w:val="Prrafodelista"/>
              <w:numPr>
                <w:ilvl w:val="0"/>
                <w:numId w:val="14"/>
              </w:numPr>
            </w:pPr>
            <w:r>
              <w:t>No disponen de No conformidades Internas.</w:t>
            </w:r>
          </w:p>
        </w:tc>
      </w:tr>
      <w:tr w:rsidR="008574EB" w:rsidRPr="00BB07E5" w:rsidTr="00717BEB">
        <w:trPr>
          <w:trHeight w:val="423"/>
        </w:trPr>
        <w:tc>
          <w:tcPr>
            <w:tcW w:w="9892" w:type="dxa"/>
            <w:gridSpan w:val="2"/>
            <w:vAlign w:val="center"/>
          </w:tcPr>
          <w:p w:rsidR="008574EB" w:rsidRPr="00BB07E5" w:rsidRDefault="008574EB" w:rsidP="002C6041">
            <w:r>
              <w:rPr>
                <w:b/>
              </w:rPr>
              <w:t xml:space="preserve">Indicadores. </w:t>
            </w:r>
          </w:p>
        </w:tc>
      </w:tr>
      <w:tr w:rsidR="008574EB" w:rsidTr="008574EB">
        <w:tc>
          <w:tcPr>
            <w:tcW w:w="1951" w:type="dxa"/>
          </w:tcPr>
          <w:p w:rsidR="008574EB" w:rsidRPr="008574EB" w:rsidRDefault="008574EB" w:rsidP="00747FCE">
            <w:pPr>
              <w:rPr>
                <w:b/>
              </w:rPr>
            </w:pPr>
            <w:r w:rsidRPr="008574EB">
              <w:rPr>
                <w:b/>
              </w:rPr>
              <w:t>Valoración.</w:t>
            </w:r>
          </w:p>
        </w:tc>
        <w:tc>
          <w:tcPr>
            <w:tcW w:w="7941" w:type="dxa"/>
          </w:tcPr>
          <w:p w:rsidR="008574EB" w:rsidRDefault="00123C15" w:rsidP="00063CD3">
            <w:pPr>
              <w:pStyle w:val="Prrafodelista"/>
              <w:numPr>
                <w:ilvl w:val="0"/>
                <w:numId w:val="14"/>
              </w:numPr>
            </w:pPr>
            <w:r w:rsidRPr="002E2935">
              <w:t xml:space="preserve">Se verifica </w:t>
            </w:r>
            <w:r>
              <w:t>que</w:t>
            </w:r>
            <w:r w:rsidR="002C01D0">
              <w:t xml:space="preserve"> </w:t>
            </w:r>
            <w:r>
              <w:t>la Unidad ha realizado las mediciones periódicas de los indicadores</w:t>
            </w:r>
            <w:r w:rsidR="00063CD3">
              <w:t xml:space="preserve"> </w:t>
            </w:r>
            <w:r w:rsidR="00063CD3" w:rsidRPr="00B52166">
              <w:t>con valor objetivo</w:t>
            </w:r>
            <w:r w:rsidRPr="00B52166">
              <w:t xml:space="preserve"> del proceso  </w:t>
            </w:r>
            <w:r>
              <w:t>de acuerdo con la planificación de sus fichas de indicadores y el cumplimiento de los valores objetivos establecidos.</w:t>
            </w:r>
          </w:p>
          <w:p w:rsidR="00063CD3" w:rsidRDefault="00063CD3" w:rsidP="00063CD3">
            <w:pPr>
              <w:pStyle w:val="Prrafodelista"/>
              <w:numPr>
                <w:ilvl w:val="0"/>
                <w:numId w:val="14"/>
              </w:numPr>
            </w:pPr>
            <w:r>
              <w:t>Se verifica el a</w:t>
            </w:r>
            <w:r w:rsidRPr="00063CD3">
              <w:t>juste de los niveles de objetivos a la verda</w:t>
            </w:r>
            <w:r>
              <w:t>dera capacidad de los procesos.</w:t>
            </w:r>
          </w:p>
        </w:tc>
      </w:tr>
      <w:tr w:rsidR="00F41C5C" w:rsidTr="008574EB">
        <w:tc>
          <w:tcPr>
            <w:tcW w:w="1951" w:type="dxa"/>
          </w:tcPr>
          <w:p w:rsidR="00F41C5C" w:rsidRPr="008574EB" w:rsidRDefault="00F41C5C" w:rsidP="00747FCE">
            <w:pPr>
              <w:rPr>
                <w:b/>
              </w:rPr>
            </w:pPr>
            <w:r w:rsidRPr="008574EB">
              <w:rPr>
                <w:b/>
              </w:rPr>
              <w:t>Observaciones/</w:t>
            </w:r>
          </w:p>
          <w:p w:rsidR="00F41C5C" w:rsidRDefault="00F41C5C" w:rsidP="00747FCE">
            <w:r w:rsidRPr="008574EB">
              <w:rPr>
                <w:b/>
              </w:rPr>
              <w:t>Recomendaciones</w:t>
            </w:r>
          </w:p>
        </w:tc>
        <w:tc>
          <w:tcPr>
            <w:tcW w:w="7941" w:type="dxa"/>
          </w:tcPr>
          <w:p w:rsidR="0023343E" w:rsidRDefault="0023343E" w:rsidP="0023343E">
            <w:pPr>
              <w:jc w:val="both"/>
            </w:pPr>
            <w:r>
              <w:t xml:space="preserve">Si bien se realiza la siguientes observaciones Generales a la Unidad: </w:t>
            </w:r>
          </w:p>
          <w:p w:rsidR="00EE712F" w:rsidRDefault="0023343E" w:rsidP="0023343E">
            <w:pPr>
              <w:jc w:val="both"/>
            </w:pPr>
            <w:r>
              <w:t xml:space="preserve">1.-Respecto al indicador: </w:t>
            </w:r>
            <w:r w:rsidRPr="00CC5ACD">
              <w:t>I.[ PC 04.11]-04  Porcentaje de Mantenimientos Preventivos q</w:t>
            </w:r>
            <w:r>
              <w:t xml:space="preserve">ue se cumplen en tiempo y forma, </w:t>
            </w:r>
          </w:p>
          <w:p w:rsidR="0023343E" w:rsidRDefault="0023343E" w:rsidP="0023343E">
            <w:pPr>
              <w:jc w:val="both"/>
            </w:pPr>
            <w:r>
              <w:t xml:space="preserve">No se alcanza el objetivo y no se dispone de las mediciones trimestrales sólo del acumulado a fecha de auditoría </w:t>
            </w:r>
          </w:p>
          <w:p w:rsidR="0023343E" w:rsidRDefault="0023343E" w:rsidP="0023343E">
            <w:pPr>
              <w:jc w:val="both"/>
            </w:pPr>
          </w:p>
          <w:p w:rsidR="00F41C5C" w:rsidRDefault="0023343E" w:rsidP="0023343E">
            <w:r>
              <w:t>Se recomienda la utilización de las herramientas que proporciona el sistema de gestión de la calidad, como es la identificación de una No conformidad y el correspondiente plan de mejoras que permita identificar las causas del incumplimiento y asegurar la consecución del objetivo</w:t>
            </w:r>
            <w:r w:rsidR="007C2DD7">
              <w:t>,</w:t>
            </w:r>
            <w:r>
              <w:t xml:space="preserve"> así como  la disponibilidad de las mediciones parciales</w:t>
            </w:r>
            <w:r w:rsidR="007C2DD7">
              <w:t xml:space="preserve"> (tal como se especifica en la ficha del indicador)</w:t>
            </w:r>
            <w:r>
              <w:t>.</w:t>
            </w:r>
          </w:p>
          <w:p w:rsidR="0023343E" w:rsidRDefault="0023343E" w:rsidP="0023343E"/>
          <w:p w:rsidR="0023343E" w:rsidRPr="00CC5ACD" w:rsidRDefault="0023343E" w:rsidP="0023343E">
            <w:pPr>
              <w:jc w:val="both"/>
            </w:pPr>
            <w:r>
              <w:t>2.- Con carácter general se recomienda a la vista de los resultados históricos de los indicadores, que se valore por la unidad el ajuste de los valores objetivo a la capacidad real del proceso con excepción del indicador de nueva medición en 2015 (</w:t>
            </w:r>
            <w:r w:rsidR="00603A58">
              <w:t>.</w:t>
            </w:r>
            <w:r w:rsidRPr="00CC5ACD">
              <w:t>I</w:t>
            </w:r>
            <w:proofErr w:type="gramStart"/>
            <w:r w:rsidRPr="00CC5ACD">
              <w:t>.[</w:t>
            </w:r>
            <w:proofErr w:type="gramEnd"/>
            <w:r w:rsidRPr="00CC5ACD">
              <w:t xml:space="preserve"> PC 04.11]-04  Porcentaje de Mantenimientos Preventivos que se cumplen en tiempo y forma</w:t>
            </w:r>
            <w:r>
              <w:t>)</w:t>
            </w:r>
            <w:r w:rsidRPr="00CC5ACD">
              <w:t>.</w:t>
            </w:r>
          </w:p>
          <w:p w:rsidR="0023343E" w:rsidRDefault="0023343E" w:rsidP="0023343E"/>
          <w:p w:rsidR="0023343E" w:rsidRDefault="0023343E" w:rsidP="0023343E">
            <w:r>
              <w:t>Observaciones específicas de Unidades</w:t>
            </w:r>
            <w:r w:rsidR="00892353">
              <w:t xml:space="preserve"> </w:t>
            </w:r>
          </w:p>
          <w:p w:rsidR="0023343E" w:rsidRDefault="0023343E" w:rsidP="0023343E">
            <w:r>
              <w:t xml:space="preserve">1.- </w:t>
            </w:r>
            <w:r w:rsidRPr="0023343E">
              <w:rPr>
                <w:b/>
              </w:rPr>
              <w:t>Unidad de Técnicos de Laboratorios</w:t>
            </w:r>
            <w:r>
              <w:rPr>
                <w:b/>
              </w:rPr>
              <w:t xml:space="preserve"> </w:t>
            </w:r>
            <w:r w:rsidRPr="0023343E">
              <w:rPr>
                <w:b/>
              </w:rPr>
              <w:t>Química Física y Analítica</w:t>
            </w:r>
          </w:p>
          <w:p w:rsidR="00EE712F" w:rsidRDefault="0023343E" w:rsidP="0023343E">
            <w:pPr>
              <w:jc w:val="both"/>
            </w:pPr>
            <w:r>
              <w:t xml:space="preserve">Respecto al indicador: </w:t>
            </w:r>
            <w:r w:rsidRPr="00CC5ACD">
              <w:t>I</w:t>
            </w:r>
            <w:proofErr w:type="gramStart"/>
            <w:r w:rsidRPr="00CC5ACD">
              <w:t>.[</w:t>
            </w:r>
            <w:proofErr w:type="gramEnd"/>
            <w:r w:rsidRPr="00CC5ACD">
              <w:t xml:space="preserve"> PC 04.11]-04  Porcentaje de Mantenimientos Preventivos q</w:t>
            </w:r>
            <w:r w:rsidR="00EE712F">
              <w:t>ue se cumplen en tiempo y forma.</w:t>
            </w:r>
            <w:r>
              <w:t xml:space="preserve"> </w:t>
            </w:r>
          </w:p>
          <w:p w:rsidR="0023343E" w:rsidRDefault="0023343E" w:rsidP="0023343E">
            <w:pPr>
              <w:jc w:val="both"/>
            </w:pPr>
            <w:r>
              <w:t>No se alcanza el objetivo y no se dispone de las mediciones trimestrales sólo del</w:t>
            </w:r>
            <w:r w:rsidR="00EE712F">
              <w:t xml:space="preserve"> acumulado a fecha de auditoría.</w:t>
            </w:r>
          </w:p>
          <w:p w:rsidR="00892353" w:rsidRDefault="00892353" w:rsidP="00892353">
            <w:pPr>
              <w:jc w:val="both"/>
            </w:pPr>
          </w:p>
          <w:p w:rsidR="00892353" w:rsidRDefault="00892353" w:rsidP="00892353">
            <w:pPr>
              <w:jc w:val="both"/>
            </w:pPr>
            <w:r>
              <w:lastRenderedPageBreak/>
              <w:t>Se recomienda el análisis de las causas del incumplimiento que permita adoptar medidas correctivas para asegurar el cumplimiento del indicador a final de año.</w:t>
            </w:r>
          </w:p>
          <w:p w:rsidR="00892353" w:rsidRDefault="00892353" w:rsidP="00892353">
            <w:pPr>
              <w:jc w:val="both"/>
            </w:pPr>
            <w:r>
              <w:t>Se recomienda la disponibilidad de los datos con carácter trimestral tal y como se establece en la ficha del indicador.</w:t>
            </w:r>
          </w:p>
          <w:p w:rsidR="0023343E" w:rsidRDefault="0023343E" w:rsidP="0023343E">
            <w:pPr>
              <w:jc w:val="both"/>
            </w:pPr>
          </w:p>
          <w:p w:rsidR="0023343E" w:rsidRPr="0023343E" w:rsidRDefault="0023343E" w:rsidP="0023343E">
            <w:pPr>
              <w:jc w:val="both"/>
              <w:rPr>
                <w:b/>
              </w:rPr>
            </w:pPr>
            <w:r>
              <w:t xml:space="preserve">2.- </w:t>
            </w:r>
            <w:r w:rsidRPr="0023343E">
              <w:rPr>
                <w:b/>
              </w:rPr>
              <w:t>Unidad de Técnicos de Laboratorios</w:t>
            </w:r>
            <w:r>
              <w:rPr>
                <w:b/>
              </w:rPr>
              <w:t xml:space="preserve"> </w:t>
            </w:r>
            <w:r w:rsidRPr="0023343E">
              <w:rPr>
                <w:b/>
              </w:rPr>
              <w:t xml:space="preserve">Ingeniería Cartográfica, Geodésica y Fotogrametría. </w:t>
            </w:r>
          </w:p>
          <w:p w:rsidR="00EE712F" w:rsidRDefault="0023343E" w:rsidP="0023343E">
            <w:pPr>
              <w:jc w:val="both"/>
            </w:pPr>
            <w:r>
              <w:t xml:space="preserve">Respecto al indicador: </w:t>
            </w:r>
            <w:r w:rsidRPr="00CC5ACD">
              <w:t>I</w:t>
            </w:r>
            <w:proofErr w:type="gramStart"/>
            <w:r w:rsidRPr="00CC5ACD">
              <w:t>.[</w:t>
            </w:r>
            <w:proofErr w:type="gramEnd"/>
            <w:r w:rsidRPr="00CC5ACD">
              <w:t xml:space="preserve"> PC 04.11]-04  Porcentaje de Mantenimientos Preventivos q</w:t>
            </w:r>
            <w:r>
              <w:t>ue se cumplen en tiempo y forma</w:t>
            </w:r>
            <w:r w:rsidR="00EE712F">
              <w:t>.</w:t>
            </w:r>
          </w:p>
          <w:p w:rsidR="0023343E" w:rsidRDefault="0023343E" w:rsidP="0023343E">
            <w:pPr>
              <w:jc w:val="both"/>
            </w:pPr>
            <w:r>
              <w:t>No se dispone de las mediciones trimestrales sólo del</w:t>
            </w:r>
            <w:r w:rsidR="00EE712F">
              <w:t xml:space="preserve"> acumulado a fecha de auditoría.</w:t>
            </w:r>
          </w:p>
          <w:p w:rsidR="0023343E" w:rsidRDefault="0023343E" w:rsidP="0023343E">
            <w:pPr>
              <w:jc w:val="both"/>
            </w:pPr>
            <w:r>
              <w:t>Se recomienda la disponibilidad de los datos con carácter trimestral tal y como se establece en la ficha del indicador.</w:t>
            </w:r>
          </w:p>
          <w:p w:rsidR="00892353" w:rsidRDefault="00892353" w:rsidP="0023343E">
            <w:pPr>
              <w:jc w:val="both"/>
            </w:pPr>
          </w:p>
          <w:p w:rsidR="0023343E" w:rsidRDefault="0023343E" w:rsidP="0023343E">
            <w:pPr>
              <w:jc w:val="both"/>
            </w:pPr>
            <w:r>
              <w:t xml:space="preserve">3.- </w:t>
            </w:r>
            <w:r w:rsidRPr="0023343E">
              <w:rPr>
                <w:b/>
              </w:rPr>
              <w:t>Unidad de Técnicos de Laboratorios</w:t>
            </w:r>
            <w:r>
              <w:rPr>
                <w:b/>
              </w:rPr>
              <w:t xml:space="preserve"> </w:t>
            </w:r>
            <w:r w:rsidRPr="0023343E">
              <w:rPr>
                <w:b/>
              </w:rPr>
              <w:t>Informática</w:t>
            </w:r>
          </w:p>
          <w:p w:rsidR="00EE712F" w:rsidRDefault="00892353" w:rsidP="00892353">
            <w:pPr>
              <w:jc w:val="both"/>
            </w:pPr>
            <w:r>
              <w:t xml:space="preserve">Respecto al indicador: </w:t>
            </w:r>
            <w:r w:rsidRPr="00CC5ACD">
              <w:t>I</w:t>
            </w:r>
            <w:proofErr w:type="gramStart"/>
            <w:r w:rsidRPr="00CC5ACD">
              <w:t>.[</w:t>
            </w:r>
            <w:proofErr w:type="gramEnd"/>
            <w:r w:rsidRPr="00CC5ACD">
              <w:t xml:space="preserve"> PC 04.11]-04  Porcentaje de Mantenimientos Preventivos q</w:t>
            </w:r>
            <w:r>
              <w:t>u</w:t>
            </w:r>
            <w:r w:rsidR="00EE712F">
              <w:t>e se cumplen en tiempo y forma.</w:t>
            </w:r>
          </w:p>
          <w:p w:rsidR="00892353" w:rsidRDefault="00892353" w:rsidP="00892353">
            <w:pPr>
              <w:jc w:val="both"/>
            </w:pPr>
            <w:r>
              <w:t>No se dispone de las mediciones trimestrales sólo del acumulado a fech</w:t>
            </w:r>
            <w:r w:rsidR="00EE712F">
              <w:t>a de auditoría.</w:t>
            </w:r>
          </w:p>
          <w:p w:rsidR="00892353" w:rsidRDefault="00892353" w:rsidP="00892353">
            <w:pPr>
              <w:jc w:val="both"/>
            </w:pPr>
          </w:p>
          <w:p w:rsidR="00892353" w:rsidRDefault="00892353" w:rsidP="00892353">
            <w:pPr>
              <w:jc w:val="both"/>
            </w:pPr>
            <w:r>
              <w:t>Se recomienda el análisis de las causas del incumplimiento que permita adoptar medidas correctivas para asegurar el cumplimiento del indicador a final de año.</w:t>
            </w:r>
          </w:p>
          <w:p w:rsidR="0023343E" w:rsidRDefault="00892353" w:rsidP="004331D1">
            <w:pPr>
              <w:jc w:val="both"/>
            </w:pPr>
            <w:r>
              <w:t>Se recomienda la disponibilidad de los datos con carácter trimestral tal y como se establece en la ficha del indicador.</w:t>
            </w:r>
          </w:p>
        </w:tc>
      </w:tr>
      <w:tr w:rsidR="00F41C5C" w:rsidRPr="00BB07E5" w:rsidTr="008574EB">
        <w:trPr>
          <w:trHeight w:val="423"/>
        </w:trPr>
        <w:tc>
          <w:tcPr>
            <w:tcW w:w="9892" w:type="dxa"/>
            <w:gridSpan w:val="2"/>
            <w:vAlign w:val="center"/>
          </w:tcPr>
          <w:p w:rsidR="00F41C5C" w:rsidRPr="00BB07E5" w:rsidRDefault="00F41C5C" w:rsidP="009C6632">
            <w:r>
              <w:rPr>
                <w:rFonts w:ascii="Calibri" w:hAnsi="Calibri"/>
                <w:b/>
              </w:rPr>
              <w:lastRenderedPageBreak/>
              <w:t>Q</w:t>
            </w:r>
            <w:r w:rsidRPr="00750017">
              <w:rPr>
                <w:rFonts w:ascii="Calibri" w:hAnsi="Calibri"/>
                <w:b/>
              </w:rPr>
              <w:t>uejas y sugerencias</w:t>
            </w:r>
            <w:r>
              <w:rPr>
                <w:rFonts w:ascii="Calibri" w:hAnsi="Calibri"/>
                <w:b/>
              </w:rPr>
              <w:t>.</w:t>
            </w:r>
            <w:r w:rsidRPr="00033B6F">
              <w:rPr>
                <w:rFonts w:ascii="Calibri" w:hAnsi="Calibri"/>
              </w:rPr>
              <w:t xml:space="preserve"> Verificación de </w:t>
            </w:r>
            <w:r>
              <w:rPr>
                <w:rFonts w:ascii="Calibri" w:hAnsi="Calibri"/>
              </w:rPr>
              <w:t xml:space="preserve">la gestión </w:t>
            </w:r>
            <w:r w:rsidRPr="008574EB">
              <w:rPr>
                <w:rFonts w:ascii="Calibri" w:hAnsi="Calibri"/>
              </w:rPr>
              <w:t>de quejas y sugerencias</w:t>
            </w:r>
            <w:r w:rsidR="00314915">
              <w:rPr>
                <w:rFonts w:ascii="Calibri" w:hAnsi="Calibri"/>
              </w:rPr>
              <w:t xml:space="preserve"> y</w:t>
            </w:r>
            <w:r w:rsidRPr="00F41C5C">
              <w:rPr>
                <w:rFonts w:ascii="Calibri" w:hAnsi="Calibri"/>
              </w:rPr>
              <w:t>, en su caso, la propuesta  coherente de implantación de acciones de mejora en este ámbito.</w:t>
            </w:r>
          </w:p>
        </w:tc>
      </w:tr>
      <w:tr w:rsidR="00F41C5C" w:rsidTr="009C6632">
        <w:tc>
          <w:tcPr>
            <w:tcW w:w="1951" w:type="dxa"/>
          </w:tcPr>
          <w:p w:rsidR="00F41C5C" w:rsidRPr="008574EB" w:rsidRDefault="00F41C5C" w:rsidP="009C6632">
            <w:pPr>
              <w:rPr>
                <w:b/>
              </w:rPr>
            </w:pPr>
            <w:r w:rsidRPr="008574EB">
              <w:rPr>
                <w:b/>
              </w:rPr>
              <w:t>Valoración.</w:t>
            </w:r>
          </w:p>
        </w:tc>
        <w:tc>
          <w:tcPr>
            <w:tcW w:w="7941" w:type="dxa"/>
          </w:tcPr>
          <w:p w:rsidR="00F41C5C" w:rsidRDefault="0023343E" w:rsidP="00E44330">
            <w:pPr>
              <w:pStyle w:val="Prrafodelista"/>
              <w:numPr>
                <w:ilvl w:val="0"/>
                <w:numId w:val="14"/>
              </w:numPr>
            </w:pPr>
            <w:r>
              <w:t xml:space="preserve">No se han presentado Quejas / Sugerencias  </w:t>
            </w:r>
            <w:r w:rsidR="00E44330">
              <w:t>en el periodo auditado.</w:t>
            </w:r>
          </w:p>
        </w:tc>
      </w:tr>
      <w:tr w:rsidR="00F41C5C" w:rsidTr="009C6632">
        <w:tc>
          <w:tcPr>
            <w:tcW w:w="1951" w:type="dxa"/>
          </w:tcPr>
          <w:p w:rsidR="00F41C5C" w:rsidRPr="008574EB" w:rsidRDefault="00F41C5C" w:rsidP="009C6632">
            <w:pPr>
              <w:rPr>
                <w:b/>
              </w:rPr>
            </w:pPr>
            <w:r w:rsidRPr="008574EB">
              <w:rPr>
                <w:b/>
              </w:rPr>
              <w:t>Observaciones/</w:t>
            </w:r>
          </w:p>
          <w:p w:rsidR="00F41C5C" w:rsidRDefault="00F41C5C" w:rsidP="009C6632">
            <w:r w:rsidRPr="008574EB">
              <w:rPr>
                <w:b/>
              </w:rPr>
              <w:t>Recomendaciones</w:t>
            </w:r>
          </w:p>
        </w:tc>
        <w:tc>
          <w:tcPr>
            <w:tcW w:w="7941" w:type="dxa"/>
          </w:tcPr>
          <w:p w:rsidR="00F41C5C" w:rsidRDefault="0023343E" w:rsidP="00D7617E">
            <w:pPr>
              <w:pStyle w:val="Prrafodelista"/>
              <w:ind w:left="360"/>
            </w:pPr>
            <w:r>
              <w:t>Ante la falta de sugerencias para la mejora por parte de los usuarios, se recomienda para su valoración por la Unidad, la implantación de otras vías de información directa de clientes como por ejemplo grupos focales, reuniones, entrevistas… que le permita reunir información sobre sus necesidades y expectativas y evaluar el grado de cumplimiento de las mismas y en su caso la realización de mejoras en la prestación de servicios.</w:t>
            </w:r>
          </w:p>
        </w:tc>
      </w:tr>
      <w:tr w:rsidR="00F41C5C" w:rsidRPr="00BB07E5" w:rsidTr="009C6632">
        <w:trPr>
          <w:trHeight w:val="423"/>
        </w:trPr>
        <w:tc>
          <w:tcPr>
            <w:tcW w:w="9892" w:type="dxa"/>
            <w:gridSpan w:val="2"/>
            <w:vAlign w:val="center"/>
          </w:tcPr>
          <w:p w:rsidR="00F41C5C" w:rsidRPr="00BB07E5" w:rsidRDefault="00F41C5C" w:rsidP="00314915">
            <w:r>
              <w:rPr>
                <w:rFonts w:ascii="Calibri" w:eastAsia="Calibri" w:hAnsi="Calibri"/>
                <w:b/>
              </w:rPr>
              <w:t>Compromisos de calidad incumplidos</w:t>
            </w:r>
            <w:r w:rsidRPr="001F1644">
              <w:rPr>
                <w:rFonts w:ascii="Calibri" w:eastAsia="Calibri" w:hAnsi="Calibri"/>
              </w:rPr>
              <w:t xml:space="preserve">. Verificación de las </w:t>
            </w:r>
            <w:r>
              <w:rPr>
                <w:rFonts w:ascii="Calibri" w:eastAsia="Calibri" w:hAnsi="Calibri"/>
              </w:rPr>
              <w:t xml:space="preserve">mejoras implantadas en relación con los compromisos de calidad incumplidos en el ciclo </w:t>
            </w:r>
            <w:r w:rsidR="00314915">
              <w:rPr>
                <w:rFonts w:ascii="Calibri" w:eastAsia="Calibri" w:hAnsi="Calibri"/>
              </w:rPr>
              <w:t xml:space="preserve">de gestión </w:t>
            </w:r>
            <w:r>
              <w:rPr>
                <w:rFonts w:ascii="Calibri" w:eastAsia="Calibri" w:hAnsi="Calibri"/>
              </w:rPr>
              <w:t>anterior</w:t>
            </w:r>
            <w:r w:rsidR="00314915">
              <w:rPr>
                <w:rFonts w:ascii="Calibri" w:eastAsia="Calibri" w:hAnsi="Calibri"/>
              </w:rPr>
              <w:t>.</w:t>
            </w:r>
          </w:p>
        </w:tc>
      </w:tr>
      <w:tr w:rsidR="00F41C5C" w:rsidTr="009C6632">
        <w:tc>
          <w:tcPr>
            <w:tcW w:w="1951" w:type="dxa"/>
          </w:tcPr>
          <w:p w:rsidR="00F41C5C" w:rsidRPr="008574EB" w:rsidRDefault="00F41C5C" w:rsidP="009C6632">
            <w:pPr>
              <w:rPr>
                <w:b/>
              </w:rPr>
            </w:pPr>
            <w:r w:rsidRPr="008574EB">
              <w:rPr>
                <w:b/>
              </w:rPr>
              <w:t>Valoración.</w:t>
            </w:r>
          </w:p>
        </w:tc>
        <w:tc>
          <w:tcPr>
            <w:tcW w:w="7941" w:type="dxa"/>
          </w:tcPr>
          <w:p w:rsidR="00F41C5C" w:rsidRDefault="0023343E" w:rsidP="0023343E">
            <w:pPr>
              <w:pStyle w:val="Prrafodelista"/>
              <w:ind w:left="360"/>
            </w:pPr>
            <w:r>
              <w:t>La Unidad cumplió todos sus compromisos de calidad del proceso en el ciclo de gestión 2014.</w:t>
            </w:r>
          </w:p>
        </w:tc>
      </w:tr>
      <w:tr w:rsidR="00F41C5C" w:rsidTr="009C6632">
        <w:tc>
          <w:tcPr>
            <w:tcW w:w="1951" w:type="dxa"/>
          </w:tcPr>
          <w:p w:rsidR="00F41C5C" w:rsidRPr="008574EB" w:rsidRDefault="00F41C5C" w:rsidP="009C6632">
            <w:pPr>
              <w:rPr>
                <w:b/>
              </w:rPr>
            </w:pPr>
            <w:r w:rsidRPr="008574EB">
              <w:rPr>
                <w:b/>
              </w:rPr>
              <w:t>Observaciones/</w:t>
            </w:r>
          </w:p>
          <w:p w:rsidR="00F41C5C" w:rsidRDefault="00F41C5C" w:rsidP="009C6632">
            <w:r w:rsidRPr="008574EB">
              <w:rPr>
                <w:b/>
              </w:rPr>
              <w:t>Recomendaciones</w:t>
            </w:r>
          </w:p>
        </w:tc>
        <w:tc>
          <w:tcPr>
            <w:tcW w:w="7941" w:type="dxa"/>
          </w:tcPr>
          <w:p w:rsidR="00F41C5C" w:rsidRDefault="00F41C5C" w:rsidP="00AA5457">
            <w:pPr>
              <w:pStyle w:val="Prrafodelista"/>
              <w:ind w:left="360"/>
            </w:pPr>
          </w:p>
          <w:p w:rsidR="00F41C5C" w:rsidRDefault="00F41C5C" w:rsidP="00F41C5C">
            <w:pPr>
              <w:pStyle w:val="Prrafodelista"/>
              <w:ind w:left="360"/>
            </w:pPr>
          </w:p>
        </w:tc>
      </w:tr>
      <w:tr w:rsidR="00F41C5C" w:rsidTr="00BA74CA">
        <w:tc>
          <w:tcPr>
            <w:tcW w:w="9892" w:type="dxa"/>
            <w:gridSpan w:val="2"/>
          </w:tcPr>
          <w:p w:rsidR="00F41C5C" w:rsidRPr="00F41C5C" w:rsidRDefault="00F41C5C" w:rsidP="00F41C5C">
            <w:r w:rsidRPr="00F41C5C">
              <w:rPr>
                <w:b/>
              </w:rPr>
              <w:t>Instrucciones técnicas</w:t>
            </w:r>
            <w:r>
              <w:rPr>
                <w:b/>
              </w:rPr>
              <w:t xml:space="preserve">. </w:t>
            </w:r>
            <w:r>
              <w:t>Verificación de la conformidad de la gestión de los procesos a las Instrucciones Técnicas aplicadas según la documentación de los procesos.</w:t>
            </w:r>
          </w:p>
        </w:tc>
      </w:tr>
      <w:tr w:rsidR="00F41C5C" w:rsidTr="009C6632">
        <w:tc>
          <w:tcPr>
            <w:tcW w:w="1951" w:type="dxa"/>
          </w:tcPr>
          <w:p w:rsidR="00F41C5C" w:rsidRDefault="00F41C5C" w:rsidP="009C6632">
            <w:pPr>
              <w:rPr>
                <w:b/>
              </w:rPr>
            </w:pPr>
            <w:r w:rsidRPr="008574EB">
              <w:rPr>
                <w:b/>
              </w:rPr>
              <w:t>Valoración.</w:t>
            </w:r>
          </w:p>
        </w:tc>
        <w:tc>
          <w:tcPr>
            <w:tcW w:w="7941" w:type="dxa"/>
          </w:tcPr>
          <w:p w:rsidR="00907D79" w:rsidRDefault="00907D79" w:rsidP="00907D79">
            <w:pPr>
              <w:pStyle w:val="Prrafodelista"/>
              <w:numPr>
                <w:ilvl w:val="0"/>
                <w:numId w:val="14"/>
              </w:numPr>
            </w:pPr>
            <w:r>
              <w:t>Se verifica la inclusión de la Instrucciones Técnicas seleccionadas en la documentación del proceso.</w:t>
            </w:r>
          </w:p>
          <w:p w:rsidR="00F41C5C" w:rsidRDefault="00907D79" w:rsidP="00907D79">
            <w:pPr>
              <w:pStyle w:val="Prrafodelista"/>
              <w:numPr>
                <w:ilvl w:val="0"/>
                <w:numId w:val="14"/>
              </w:numPr>
            </w:pPr>
            <w:r>
              <w:t>Se verifica la conformidad de la gestión del proceso a las Instrucciones Técnicas seleccionadas a través de la aplicación de sus previsiones.</w:t>
            </w:r>
          </w:p>
        </w:tc>
      </w:tr>
      <w:tr w:rsidR="00F41C5C" w:rsidTr="009C6632">
        <w:tc>
          <w:tcPr>
            <w:tcW w:w="1951" w:type="dxa"/>
          </w:tcPr>
          <w:p w:rsidR="00F41C5C" w:rsidRPr="008574EB" w:rsidRDefault="00F41C5C" w:rsidP="00F41C5C">
            <w:pPr>
              <w:rPr>
                <w:b/>
              </w:rPr>
            </w:pPr>
            <w:r w:rsidRPr="008574EB">
              <w:rPr>
                <w:b/>
              </w:rPr>
              <w:t>Observaciones/</w:t>
            </w:r>
          </w:p>
          <w:p w:rsidR="00F41C5C" w:rsidRPr="008574EB" w:rsidRDefault="00F41C5C" w:rsidP="00F41C5C">
            <w:pPr>
              <w:rPr>
                <w:b/>
              </w:rPr>
            </w:pPr>
            <w:r w:rsidRPr="008574EB">
              <w:rPr>
                <w:b/>
              </w:rPr>
              <w:t>Recomendaciones</w:t>
            </w:r>
          </w:p>
        </w:tc>
        <w:tc>
          <w:tcPr>
            <w:tcW w:w="7941" w:type="dxa"/>
          </w:tcPr>
          <w:p w:rsidR="00F443CB" w:rsidRPr="00F443CB" w:rsidRDefault="00F443CB" w:rsidP="008D06CF">
            <w:pPr>
              <w:ind w:left="317"/>
              <w:rPr>
                <w:b/>
              </w:rPr>
            </w:pPr>
          </w:p>
          <w:p w:rsidR="00F41C5C" w:rsidRDefault="00F41C5C" w:rsidP="00F443CB"/>
        </w:tc>
      </w:tr>
      <w:tr w:rsidR="00A56B15" w:rsidTr="00D4505B">
        <w:tc>
          <w:tcPr>
            <w:tcW w:w="9892" w:type="dxa"/>
            <w:gridSpan w:val="2"/>
          </w:tcPr>
          <w:p w:rsidR="00A56B15" w:rsidRDefault="00A56B15" w:rsidP="00F443CB">
            <w:pPr>
              <w:rPr>
                <w:b/>
              </w:rPr>
            </w:pPr>
            <w:r>
              <w:rPr>
                <w:b/>
              </w:rPr>
              <w:t>Formatos. Verificación de la adecuación de los formatos  a los registros que soportan</w:t>
            </w:r>
            <w:r w:rsidR="002C01D0">
              <w:rPr>
                <w:b/>
              </w:rPr>
              <w:t>.</w:t>
            </w:r>
          </w:p>
        </w:tc>
      </w:tr>
      <w:tr w:rsidR="00063CD3" w:rsidTr="009C6632">
        <w:tc>
          <w:tcPr>
            <w:tcW w:w="1951" w:type="dxa"/>
          </w:tcPr>
          <w:p w:rsidR="00063CD3" w:rsidRPr="008574EB" w:rsidRDefault="00A56B15" w:rsidP="00F41C5C">
            <w:pPr>
              <w:rPr>
                <w:b/>
              </w:rPr>
            </w:pPr>
            <w:r>
              <w:rPr>
                <w:b/>
              </w:rPr>
              <w:t>Valoración.</w:t>
            </w:r>
          </w:p>
        </w:tc>
        <w:tc>
          <w:tcPr>
            <w:tcW w:w="7941" w:type="dxa"/>
          </w:tcPr>
          <w:p w:rsidR="00063CD3" w:rsidRPr="002C01D0" w:rsidRDefault="00A56B15" w:rsidP="002C01D0">
            <w:pPr>
              <w:pStyle w:val="Prrafodelista"/>
              <w:numPr>
                <w:ilvl w:val="0"/>
                <w:numId w:val="4"/>
              </w:numPr>
            </w:pPr>
            <w:r w:rsidRPr="002C01D0">
              <w:t>Se verifica la inclusión de los Formatos seleccionados en la documentación del proceso.</w:t>
            </w:r>
          </w:p>
          <w:p w:rsidR="00A56B15" w:rsidRPr="002C01D0" w:rsidRDefault="002C01D0" w:rsidP="002C01D0">
            <w:pPr>
              <w:pStyle w:val="Prrafodelista"/>
              <w:numPr>
                <w:ilvl w:val="0"/>
                <w:numId w:val="4"/>
              </w:numPr>
              <w:rPr>
                <w:b/>
              </w:rPr>
            </w:pPr>
            <w:r w:rsidRPr="002C01D0">
              <w:t>Se verifica la adecuación de los Formatos a los registros que soportan.</w:t>
            </w:r>
          </w:p>
        </w:tc>
      </w:tr>
      <w:tr w:rsidR="00063CD3" w:rsidTr="007C2DD7">
        <w:tc>
          <w:tcPr>
            <w:tcW w:w="1951" w:type="dxa"/>
            <w:tcBorders>
              <w:bottom w:val="single" w:sz="4" w:space="0" w:color="auto"/>
            </w:tcBorders>
          </w:tcPr>
          <w:p w:rsidR="002C01D0" w:rsidRPr="008574EB" w:rsidRDefault="002C01D0" w:rsidP="002C01D0">
            <w:pPr>
              <w:rPr>
                <w:b/>
              </w:rPr>
            </w:pPr>
            <w:r w:rsidRPr="008574EB">
              <w:rPr>
                <w:b/>
              </w:rPr>
              <w:t>Observaciones/</w:t>
            </w:r>
          </w:p>
          <w:p w:rsidR="00063CD3" w:rsidRPr="008574EB" w:rsidRDefault="002C01D0" w:rsidP="002C01D0">
            <w:pPr>
              <w:rPr>
                <w:b/>
              </w:rPr>
            </w:pPr>
            <w:r w:rsidRPr="008574EB">
              <w:rPr>
                <w:b/>
              </w:rPr>
              <w:t>Recomendaciones</w:t>
            </w:r>
          </w:p>
        </w:tc>
        <w:tc>
          <w:tcPr>
            <w:tcW w:w="7941" w:type="dxa"/>
            <w:tcBorders>
              <w:bottom w:val="single" w:sz="4" w:space="0" w:color="auto"/>
            </w:tcBorders>
          </w:tcPr>
          <w:p w:rsidR="00063CD3" w:rsidRDefault="00063CD3" w:rsidP="00F443CB">
            <w:pPr>
              <w:rPr>
                <w:b/>
              </w:rPr>
            </w:pPr>
          </w:p>
        </w:tc>
      </w:tr>
      <w:tr w:rsidR="0096573B" w:rsidTr="007C2DD7">
        <w:tc>
          <w:tcPr>
            <w:tcW w:w="9892" w:type="dxa"/>
            <w:gridSpan w:val="2"/>
            <w:tcBorders>
              <w:top w:val="single" w:sz="4" w:space="0" w:color="auto"/>
              <w:left w:val="single" w:sz="4" w:space="0" w:color="auto"/>
              <w:bottom w:val="single" w:sz="4" w:space="0" w:color="auto"/>
              <w:right w:val="single" w:sz="4" w:space="0" w:color="auto"/>
            </w:tcBorders>
          </w:tcPr>
          <w:p w:rsidR="0096573B" w:rsidRDefault="0024475E" w:rsidP="0024475E">
            <w:pPr>
              <w:rPr>
                <w:b/>
              </w:rPr>
            </w:pPr>
            <w:r>
              <w:rPr>
                <w:b/>
              </w:rPr>
              <w:t xml:space="preserve">Encuestas: </w:t>
            </w:r>
            <w:r w:rsidRPr="0052070A">
              <w:rPr>
                <w:rFonts w:ascii="Calibri" w:eastAsia="Calibri" w:hAnsi="Calibri"/>
              </w:rPr>
              <w:t xml:space="preserve">Verificación de la realización de las encuestas correspondientes a los grupos de interés del </w:t>
            </w:r>
            <w:r w:rsidRPr="0052070A">
              <w:rPr>
                <w:rFonts w:ascii="Calibri" w:eastAsia="Calibri" w:hAnsi="Calibri"/>
              </w:rPr>
              <w:lastRenderedPageBreak/>
              <w:t>proceso, así como, a fecha de auditoría, del seguimiento de los índices de participación y resultados obtenidos; en su caso, realización de acciones de mejora necesarias.</w:t>
            </w:r>
          </w:p>
        </w:tc>
      </w:tr>
      <w:tr w:rsidR="0096573B" w:rsidTr="007C2DD7">
        <w:tc>
          <w:tcPr>
            <w:tcW w:w="1951" w:type="dxa"/>
            <w:tcBorders>
              <w:top w:val="single" w:sz="4" w:space="0" w:color="auto"/>
              <w:left w:val="single" w:sz="4" w:space="0" w:color="auto"/>
              <w:bottom w:val="single" w:sz="4" w:space="0" w:color="auto"/>
              <w:right w:val="single" w:sz="4" w:space="0" w:color="auto"/>
            </w:tcBorders>
          </w:tcPr>
          <w:p w:rsidR="0096573B" w:rsidRPr="008574EB" w:rsidRDefault="006E5B37" w:rsidP="006E5B37">
            <w:pPr>
              <w:rPr>
                <w:b/>
              </w:rPr>
            </w:pPr>
            <w:bookmarkStart w:id="0" w:name="_GoBack"/>
            <w:r>
              <w:rPr>
                <w:b/>
              </w:rPr>
              <w:lastRenderedPageBreak/>
              <w:t>Encuestas de Satisfacción General</w:t>
            </w:r>
          </w:p>
        </w:tc>
        <w:tc>
          <w:tcPr>
            <w:tcW w:w="7941" w:type="dxa"/>
            <w:tcBorders>
              <w:top w:val="single" w:sz="4" w:space="0" w:color="auto"/>
              <w:left w:val="single" w:sz="4" w:space="0" w:color="auto"/>
              <w:bottom w:val="single" w:sz="4" w:space="0" w:color="auto"/>
              <w:right w:val="single" w:sz="4" w:space="0" w:color="auto"/>
            </w:tcBorders>
          </w:tcPr>
          <w:p w:rsidR="0096573B" w:rsidRPr="006E5B37" w:rsidRDefault="0023343E" w:rsidP="0023343E">
            <w:pPr>
              <w:spacing w:after="200"/>
            </w:pPr>
            <w:r>
              <w:t>A fecha de auditoría está pendiente,</w:t>
            </w:r>
            <w:r w:rsidRPr="00C645DF">
              <w:t xml:space="preserve"> </w:t>
            </w:r>
            <w:r>
              <w:t>de acuerdo con la planificación establecida,  la realización de la encuesta general.</w:t>
            </w:r>
          </w:p>
        </w:tc>
      </w:tr>
      <w:tr w:rsidR="006E5B37" w:rsidTr="007C2DD7">
        <w:tc>
          <w:tcPr>
            <w:tcW w:w="1951" w:type="dxa"/>
            <w:tcBorders>
              <w:top w:val="single" w:sz="4" w:space="0" w:color="auto"/>
              <w:left w:val="single" w:sz="4" w:space="0" w:color="auto"/>
              <w:bottom w:val="single" w:sz="4" w:space="0" w:color="auto"/>
              <w:right w:val="single" w:sz="4" w:space="0" w:color="auto"/>
            </w:tcBorders>
          </w:tcPr>
          <w:p w:rsidR="006E5B37" w:rsidRPr="008574EB" w:rsidRDefault="006E5B37" w:rsidP="00AC236B">
            <w:pPr>
              <w:rPr>
                <w:b/>
              </w:rPr>
            </w:pPr>
            <w:r w:rsidRPr="008574EB">
              <w:rPr>
                <w:b/>
              </w:rPr>
              <w:t>Observaciones/</w:t>
            </w:r>
          </w:p>
          <w:p w:rsidR="006E5B37" w:rsidRPr="008574EB" w:rsidRDefault="006E5B37" w:rsidP="00AC236B">
            <w:pPr>
              <w:rPr>
                <w:b/>
              </w:rPr>
            </w:pPr>
            <w:r w:rsidRPr="008574EB">
              <w:rPr>
                <w:b/>
              </w:rPr>
              <w:t>Recomendaciones</w:t>
            </w:r>
          </w:p>
        </w:tc>
        <w:tc>
          <w:tcPr>
            <w:tcW w:w="7941" w:type="dxa"/>
            <w:tcBorders>
              <w:top w:val="single" w:sz="4" w:space="0" w:color="auto"/>
              <w:left w:val="single" w:sz="4" w:space="0" w:color="auto"/>
              <w:bottom w:val="single" w:sz="4" w:space="0" w:color="auto"/>
              <w:right w:val="single" w:sz="4" w:space="0" w:color="auto"/>
            </w:tcBorders>
          </w:tcPr>
          <w:p w:rsidR="006E5B37" w:rsidRDefault="006E5B37" w:rsidP="0024475E">
            <w:pPr>
              <w:rPr>
                <w:b/>
              </w:rPr>
            </w:pPr>
          </w:p>
        </w:tc>
      </w:tr>
      <w:tr w:rsidR="006E5B37" w:rsidTr="007C2DD7">
        <w:tc>
          <w:tcPr>
            <w:tcW w:w="1951" w:type="dxa"/>
            <w:tcBorders>
              <w:top w:val="single" w:sz="4" w:space="0" w:color="auto"/>
              <w:left w:val="single" w:sz="4" w:space="0" w:color="auto"/>
              <w:bottom w:val="single" w:sz="4" w:space="0" w:color="auto"/>
              <w:right w:val="single" w:sz="4" w:space="0" w:color="auto"/>
            </w:tcBorders>
          </w:tcPr>
          <w:p w:rsidR="006E5B37" w:rsidRPr="008574EB" w:rsidRDefault="006E5B37" w:rsidP="002C01D0">
            <w:pPr>
              <w:rPr>
                <w:b/>
              </w:rPr>
            </w:pPr>
            <w:r>
              <w:rPr>
                <w:b/>
              </w:rPr>
              <w:t>Encuestas Post-servicio</w:t>
            </w:r>
          </w:p>
        </w:tc>
        <w:tc>
          <w:tcPr>
            <w:tcW w:w="7941" w:type="dxa"/>
            <w:tcBorders>
              <w:top w:val="single" w:sz="4" w:space="0" w:color="auto"/>
              <w:left w:val="single" w:sz="4" w:space="0" w:color="auto"/>
              <w:bottom w:val="single" w:sz="4" w:space="0" w:color="auto"/>
              <w:right w:val="single" w:sz="4" w:space="0" w:color="auto"/>
            </w:tcBorders>
          </w:tcPr>
          <w:p w:rsidR="006E5B37" w:rsidRPr="006E5B37" w:rsidRDefault="0023343E" w:rsidP="004331D1">
            <w:r w:rsidRPr="0023343E">
              <w:t xml:space="preserve">La encuesta </w:t>
            </w:r>
            <w:r>
              <w:t xml:space="preserve"> post-servicio</w:t>
            </w:r>
            <w:r w:rsidR="004331D1">
              <w:t xml:space="preserve"> mantenimiento</w:t>
            </w:r>
            <w:r>
              <w:t xml:space="preserve"> </w:t>
            </w:r>
            <w:r w:rsidRPr="0023343E">
              <w:t>se está realizando de forma continuada a través del programa Petrus, con informes</w:t>
            </w:r>
            <w:r>
              <w:t xml:space="preserve"> parciales sobre su realización,</w:t>
            </w:r>
            <w:r w:rsidR="00FA4BDF">
              <w:t xml:space="preserve"> con resultados satisfactorios, </w:t>
            </w:r>
            <w:r>
              <w:t xml:space="preserve"> pendiente de los resultados finales al </w:t>
            </w:r>
            <w:proofErr w:type="gramStart"/>
            <w:r w:rsidR="00CD185C">
              <w:t>termino</w:t>
            </w:r>
            <w:proofErr w:type="gramEnd"/>
            <w:r w:rsidR="00CD185C">
              <w:t xml:space="preserve"> </w:t>
            </w:r>
            <w:r>
              <w:t>de</w:t>
            </w:r>
            <w:r w:rsidR="00CD185C">
              <w:t xml:space="preserve">l </w:t>
            </w:r>
            <w:r>
              <w:t xml:space="preserve"> ciclo</w:t>
            </w:r>
            <w:r w:rsidR="00CD185C">
              <w:t xml:space="preserve"> de gestión</w:t>
            </w:r>
            <w:r>
              <w:t>.</w:t>
            </w:r>
          </w:p>
        </w:tc>
      </w:tr>
      <w:tr w:rsidR="006E5B37" w:rsidTr="007C2DD7">
        <w:tc>
          <w:tcPr>
            <w:tcW w:w="1951" w:type="dxa"/>
            <w:tcBorders>
              <w:top w:val="single" w:sz="4" w:space="0" w:color="auto"/>
              <w:left w:val="single" w:sz="4" w:space="0" w:color="auto"/>
              <w:bottom w:val="single" w:sz="2" w:space="0" w:color="auto"/>
              <w:right w:val="single" w:sz="4" w:space="0" w:color="auto"/>
            </w:tcBorders>
          </w:tcPr>
          <w:p w:rsidR="006E5B37" w:rsidRPr="008574EB" w:rsidRDefault="006E5B37" w:rsidP="006E5B37">
            <w:pPr>
              <w:rPr>
                <w:b/>
              </w:rPr>
            </w:pPr>
            <w:r w:rsidRPr="008574EB">
              <w:rPr>
                <w:b/>
              </w:rPr>
              <w:t>Observaciones/</w:t>
            </w:r>
          </w:p>
          <w:p w:rsidR="006E5B37" w:rsidRDefault="006E5B37" w:rsidP="006E5B37">
            <w:pPr>
              <w:rPr>
                <w:b/>
              </w:rPr>
            </w:pPr>
            <w:r w:rsidRPr="008574EB">
              <w:rPr>
                <w:b/>
              </w:rPr>
              <w:t>Recomendaciones</w:t>
            </w:r>
          </w:p>
        </w:tc>
        <w:tc>
          <w:tcPr>
            <w:tcW w:w="7941" w:type="dxa"/>
            <w:tcBorders>
              <w:top w:val="single" w:sz="4" w:space="0" w:color="auto"/>
              <w:left w:val="single" w:sz="4" w:space="0" w:color="auto"/>
              <w:bottom w:val="single" w:sz="2" w:space="0" w:color="auto"/>
              <w:right w:val="single" w:sz="4" w:space="0" w:color="auto"/>
            </w:tcBorders>
          </w:tcPr>
          <w:p w:rsidR="006E5B37" w:rsidRPr="006E5B37" w:rsidRDefault="006E5B37" w:rsidP="00AC236B"/>
        </w:tc>
      </w:tr>
      <w:bookmarkEnd w:id="0"/>
    </w:tbl>
    <w:p w:rsidR="008574EB" w:rsidRDefault="008574EB" w:rsidP="00907D79"/>
    <w:sectPr w:rsidR="008574EB" w:rsidSect="00352E82">
      <w:headerReference w:type="default" r:id="rId9"/>
      <w:footerReference w:type="default" r:id="rId10"/>
      <w:pgSz w:w="11906" w:h="16838" w:code="9"/>
      <w:pgMar w:top="851" w:right="1077" w:bottom="851" w:left="107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CE6" w:rsidRDefault="00A75CE6" w:rsidP="00323545">
      <w:pPr>
        <w:spacing w:line="240" w:lineRule="auto"/>
      </w:pPr>
      <w:r>
        <w:separator/>
      </w:r>
    </w:p>
  </w:endnote>
  <w:endnote w:type="continuationSeparator" w:id="0">
    <w:p w:rsidR="00A75CE6" w:rsidRDefault="00A75CE6" w:rsidP="00323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5BF" w:rsidRDefault="00D715BF" w:rsidP="00255A3F">
    <w:r w:rsidRPr="00945A44">
      <w:rPr>
        <w:i/>
        <w:color w:val="808080"/>
        <w:sz w:val="16"/>
        <w:szCs w:val="16"/>
      </w:rPr>
      <w:t>Sistema Integrado de Gestión de la Calidad de los Servicios y Unidades Administrativas de la Universidad de Jaén.</w:t>
    </w:r>
    <w:r>
      <w:rPr>
        <w:i/>
        <w:color w:val="808080"/>
        <w:sz w:val="16"/>
        <w:szCs w:val="16"/>
      </w:rPr>
      <w:t xml:space="preserve">   </w:t>
    </w:r>
    <w:r>
      <w:t xml:space="preserve">Página </w:t>
    </w:r>
    <w:r w:rsidR="00680FBF">
      <w:fldChar w:fldCharType="begin"/>
    </w:r>
    <w:r w:rsidR="008E3820">
      <w:instrText xml:space="preserve"> PAGE </w:instrText>
    </w:r>
    <w:r w:rsidR="00680FBF">
      <w:fldChar w:fldCharType="separate"/>
    </w:r>
    <w:r w:rsidR="007C2DD7">
      <w:rPr>
        <w:noProof/>
      </w:rPr>
      <w:t>3</w:t>
    </w:r>
    <w:r w:rsidR="00680FBF">
      <w:rPr>
        <w:noProof/>
      </w:rPr>
      <w:fldChar w:fldCharType="end"/>
    </w:r>
    <w:r>
      <w:t xml:space="preserve"> de </w:t>
    </w:r>
    <w:fldSimple w:instr=" NUMPAGES  ">
      <w:r w:rsidR="007C2DD7">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CE6" w:rsidRDefault="00A75CE6" w:rsidP="00323545">
      <w:pPr>
        <w:spacing w:line="240" w:lineRule="auto"/>
      </w:pPr>
      <w:r>
        <w:separator/>
      </w:r>
    </w:p>
  </w:footnote>
  <w:footnote w:type="continuationSeparator" w:id="0">
    <w:p w:rsidR="00A75CE6" w:rsidRDefault="00A75CE6" w:rsidP="003235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4" w:type="dxa"/>
      <w:jc w:val="center"/>
      <w:tblBorders>
        <w:top w:val="single" w:sz="8" w:space="0" w:color="A6A6A6"/>
        <w:left w:val="single" w:sz="8" w:space="0" w:color="A6A6A6"/>
        <w:bottom w:val="single" w:sz="8" w:space="0" w:color="A6A6A6"/>
        <w:right w:val="single" w:sz="8" w:space="0" w:color="A6A6A6"/>
        <w:insideV w:val="single" w:sz="8" w:space="0" w:color="A6A6A6"/>
      </w:tblBorders>
      <w:tblLook w:val="04A0" w:firstRow="1" w:lastRow="0" w:firstColumn="1" w:lastColumn="0" w:noHBand="0" w:noVBand="1"/>
    </w:tblPr>
    <w:tblGrid>
      <w:gridCol w:w="2467"/>
      <w:gridCol w:w="2469"/>
      <w:gridCol w:w="4758"/>
    </w:tblGrid>
    <w:tr w:rsidR="00D715BF" w:rsidTr="00B97F47">
      <w:trPr>
        <w:trHeight w:val="480"/>
        <w:jc w:val="center"/>
      </w:trPr>
      <w:tc>
        <w:tcPr>
          <w:tcW w:w="2467" w:type="dxa"/>
          <w:vMerge w:val="restart"/>
          <w:tcBorders>
            <w:top w:val="single" w:sz="8" w:space="0" w:color="A6A6A6"/>
            <w:left w:val="nil"/>
            <w:bottom w:val="single" w:sz="8" w:space="0" w:color="A6A6A6"/>
            <w:right w:val="nil"/>
          </w:tcBorders>
        </w:tcPr>
        <w:p w:rsidR="00D715BF" w:rsidRDefault="00D715BF" w:rsidP="00B97F47">
          <w:pPr>
            <w:pStyle w:val="Encabezado"/>
          </w:pPr>
          <w:r w:rsidRPr="00EA013B">
            <w:rPr>
              <w:rFonts w:ascii="Eras Bold ITC" w:hAnsi="Eras Bold ITC"/>
              <w:color w:val="808080"/>
            </w:rPr>
            <w:t>SIGC-SUA</w:t>
          </w:r>
          <w:r>
            <w:rPr>
              <w:noProof/>
            </w:rPr>
            <w:t xml:space="preserve"> </w:t>
          </w:r>
          <w:r>
            <w:rPr>
              <w:noProof/>
            </w:rPr>
            <w:drawing>
              <wp:inline distT="0" distB="0" distL="0" distR="0" wp14:anchorId="1E4BB258" wp14:editId="590591DD">
                <wp:extent cx="1247775" cy="390525"/>
                <wp:effectExtent l="19050" t="0" r="9525" b="0"/>
                <wp:docPr id="1" name="0 Imagen" descr="imagen_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n_encabezado.jpg"/>
                        <pic:cNvPicPr>
                          <a:picLocks noChangeAspect="1" noChangeArrowheads="1"/>
                        </pic:cNvPicPr>
                      </pic:nvPicPr>
                      <pic:blipFill>
                        <a:blip r:embed="rId1"/>
                        <a:srcRect/>
                        <a:stretch>
                          <a:fillRect/>
                        </a:stretch>
                      </pic:blipFill>
                      <pic:spPr bwMode="auto">
                        <a:xfrm>
                          <a:off x="0" y="0"/>
                          <a:ext cx="1247775" cy="390525"/>
                        </a:xfrm>
                        <a:prstGeom prst="rect">
                          <a:avLst/>
                        </a:prstGeom>
                        <a:noFill/>
                        <a:ln w="9525">
                          <a:noFill/>
                          <a:miter lim="800000"/>
                          <a:headEnd/>
                          <a:tailEnd/>
                        </a:ln>
                      </pic:spPr>
                    </pic:pic>
                  </a:graphicData>
                </a:graphic>
              </wp:inline>
            </w:drawing>
          </w:r>
        </w:p>
      </w:tc>
      <w:tc>
        <w:tcPr>
          <w:tcW w:w="2469" w:type="dxa"/>
          <w:vMerge w:val="restart"/>
          <w:tcBorders>
            <w:top w:val="single" w:sz="8" w:space="0" w:color="A6A6A6"/>
            <w:left w:val="nil"/>
          </w:tcBorders>
          <w:vAlign w:val="center"/>
        </w:tcPr>
        <w:p w:rsidR="00D715BF" w:rsidRPr="00EA013B" w:rsidRDefault="00D715BF" w:rsidP="00B97F47">
          <w:pPr>
            <w:pStyle w:val="Encabezado"/>
            <w:jc w:val="center"/>
            <w:rPr>
              <w:color w:val="808080"/>
            </w:rPr>
          </w:pPr>
          <w:r>
            <w:rPr>
              <w:noProof/>
            </w:rPr>
            <w:drawing>
              <wp:inline distT="0" distB="0" distL="0" distR="0" wp14:anchorId="45B9B875" wp14:editId="00E62CEF">
                <wp:extent cx="819150" cy="657225"/>
                <wp:effectExtent l="0" t="0" r="0" b="0"/>
                <wp:docPr id="2" name="Imagen 1" descr="UJA_letras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JA_letras_transparente"/>
                        <pic:cNvPicPr>
                          <a:picLocks noChangeAspect="1" noChangeArrowheads="1"/>
                        </pic:cNvPicPr>
                      </pic:nvPicPr>
                      <pic:blipFill>
                        <a:blip r:embed="rId2">
                          <a:grayscl/>
                        </a:blip>
                        <a:srcRect/>
                        <a:stretch>
                          <a:fillRect/>
                        </a:stretch>
                      </pic:blipFill>
                      <pic:spPr bwMode="auto">
                        <a:xfrm>
                          <a:off x="0" y="0"/>
                          <a:ext cx="819150" cy="657225"/>
                        </a:xfrm>
                        <a:prstGeom prst="rect">
                          <a:avLst/>
                        </a:prstGeom>
                        <a:noFill/>
                        <a:ln w="9525">
                          <a:noFill/>
                          <a:miter lim="800000"/>
                          <a:headEnd/>
                          <a:tailEnd/>
                        </a:ln>
                      </pic:spPr>
                    </pic:pic>
                  </a:graphicData>
                </a:graphic>
              </wp:inline>
            </w:drawing>
          </w:r>
        </w:p>
      </w:tc>
      <w:tc>
        <w:tcPr>
          <w:tcW w:w="4758" w:type="dxa"/>
          <w:tcBorders>
            <w:top w:val="single" w:sz="8" w:space="0" w:color="A6A6A6"/>
            <w:bottom w:val="single" w:sz="8" w:space="0" w:color="A6A6A6"/>
            <w:right w:val="nil"/>
          </w:tcBorders>
        </w:tcPr>
        <w:p w:rsidR="00D715BF" w:rsidRPr="00EA013B" w:rsidRDefault="00D715BF" w:rsidP="00AE1AE6">
          <w:pPr>
            <w:jc w:val="both"/>
            <w:rPr>
              <w:b/>
              <w:noProof/>
              <w:color w:val="808080"/>
              <w:sz w:val="20"/>
              <w:szCs w:val="20"/>
            </w:rPr>
          </w:pPr>
          <w:r>
            <w:rPr>
              <w:b/>
              <w:noProof/>
              <w:color w:val="808080"/>
              <w:sz w:val="20"/>
              <w:szCs w:val="20"/>
            </w:rPr>
            <w:t xml:space="preserve">Auditoría Interna </w:t>
          </w:r>
          <w:r w:rsidR="00660D83">
            <w:rPr>
              <w:b/>
              <w:noProof/>
              <w:color w:val="808080"/>
              <w:sz w:val="20"/>
              <w:szCs w:val="20"/>
            </w:rPr>
            <w:t>de Seguimiento.</w:t>
          </w:r>
          <w:r>
            <w:rPr>
              <w:b/>
              <w:noProof/>
              <w:color w:val="808080"/>
              <w:sz w:val="20"/>
              <w:szCs w:val="20"/>
            </w:rPr>
            <w:t xml:space="preserve"> Ciclo de Gestión 201</w:t>
          </w:r>
          <w:r w:rsidR="00AE1AE6">
            <w:rPr>
              <w:b/>
              <w:noProof/>
              <w:color w:val="808080"/>
              <w:sz w:val="20"/>
              <w:szCs w:val="20"/>
            </w:rPr>
            <w:t>5</w:t>
          </w:r>
        </w:p>
      </w:tc>
    </w:tr>
    <w:tr w:rsidR="00D715BF" w:rsidRPr="006A30E0" w:rsidTr="00B97F47">
      <w:trPr>
        <w:trHeight w:val="198"/>
        <w:jc w:val="center"/>
      </w:trPr>
      <w:tc>
        <w:tcPr>
          <w:tcW w:w="2467" w:type="dxa"/>
          <w:vMerge/>
          <w:tcBorders>
            <w:top w:val="nil"/>
            <w:left w:val="nil"/>
            <w:bottom w:val="single" w:sz="8" w:space="0" w:color="A6A6A6"/>
            <w:right w:val="nil"/>
          </w:tcBorders>
        </w:tcPr>
        <w:p w:rsidR="00D715BF" w:rsidRDefault="00D715BF" w:rsidP="00B97F47">
          <w:pPr>
            <w:pStyle w:val="Encabezado"/>
            <w:rPr>
              <w:noProof/>
            </w:rPr>
          </w:pPr>
        </w:p>
      </w:tc>
      <w:tc>
        <w:tcPr>
          <w:tcW w:w="2469" w:type="dxa"/>
          <w:vMerge/>
          <w:tcBorders>
            <w:left w:val="nil"/>
            <w:bottom w:val="single" w:sz="8" w:space="0" w:color="A6A6A6"/>
          </w:tcBorders>
          <w:vAlign w:val="center"/>
        </w:tcPr>
        <w:p w:rsidR="00D715BF" w:rsidRPr="00EA013B" w:rsidRDefault="00D715BF" w:rsidP="00B97F47">
          <w:pPr>
            <w:pStyle w:val="Encabezado"/>
            <w:rPr>
              <w:b/>
              <w:color w:val="808080"/>
            </w:rPr>
          </w:pPr>
        </w:p>
      </w:tc>
      <w:tc>
        <w:tcPr>
          <w:tcW w:w="4758" w:type="dxa"/>
          <w:tcBorders>
            <w:top w:val="single" w:sz="8" w:space="0" w:color="A6A6A6"/>
            <w:bottom w:val="single" w:sz="8" w:space="0" w:color="A6A6A6"/>
            <w:right w:val="nil"/>
          </w:tcBorders>
          <w:vAlign w:val="center"/>
        </w:tcPr>
        <w:p w:rsidR="00D715BF" w:rsidRPr="006A30E0" w:rsidRDefault="00E3348B" w:rsidP="00AE1AE6">
          <w:pPr>
            <w:rPr>
              <w:b/>
              <w:noProof/>
              <w:color w:val="808080"/>
              <w:sz w:val="20"/>
              <w:szCs w:val="20"/>
              <w:lang w:val="en-US"/>
            </w:rPr>
          </w:pPr>
          <w:r>
            <w:rPr>
              <w:b/>
              <w:noProof/>
              <w:color w:val="808080"/>
              <w:sz w:val="20"/>
              <w:szCs w:val="20"/>
              <w:lang w:val="en-US"/>
            </w:rPr>
            <w:t>Septiembre</w:t>
          </w:r>
          <w:r w:rsidR="00314915">
            <w:rPr>
              <w:b/>
              <w:noProof/>
              <w:color w:val="808080"/>
              <w:sz w:val="20"/>
              <w:szCs w:val="20"/>
              <w:lang w:val="en-US"/>
            </w:rPr>
            <w:t xml:space="preserve"> </w:t>
          </w:r>
          <w:r w:rsidR="00D715BF">
            <w:rPr>
              <w:b/>
              <w:noProof/>
              <w:color w:val="808080"/>
              <w:sz w:val="20"/>
              <w:szCs w:val="20"/>
              <w:lang w:val="en-US"/>
            </w:rPr>
            <w:t>201</w:t>
          </w:r>
          <w:r w:rsidR="00AE1AE6">
            <w:rPr>
              <w:b/>
              <w:noProof/>
              <w:color w:val="808080"/>
              <w:sz w:val="20"/>
              <w:szCs w:val="20"/>
              <w:lang w:val="en-US"/>
            </w:rPr>
            <w:t>5</w:t>
          </w:r>
        </w:p>
      </w:tc>
    </w:tr>
  </w:tbl>
  <w:p w:rsidR="00D715BF" w:rsidRDefault="00D715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5B10"/>
    <w:multiLevelType w:val="hybridMultilevel"/>
    <w:tmpl w:val="29703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CC6480"/>
    <w:multiLevelType w:val="hybridMultilevel"/>
    <w:tmpl w:val="9602387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C3F56AC"/>
    <w:multiLevelType w:val="hybridMultilevel"/>
    <w:tmpl w:val="BC547B7E"/>
    <w:lvl w:ilvl="0" w:tplc="1F1CF416">
      <w:start w:val="1"/>
      <w:numFmt w:val="bullet"/>
      <w:lvlText w:val=""/>
      <w:lvlJc w:val="left"/>
      <w:pPr>
        <w:ind w:left="360" w:hanging="360"/>
      </w:pPr>
      <w:rPr>
        <w:rFonts w:ascii="Wingdings" w:hAnsi="Wingdings" w:hint="default"/>
        <w:b/>
        <w:i w:val="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9014135"/>
    <w:multiLevelType w:val="hybridMultilevel"/>
    <w:tmpl w:val="4816E36E"/>
    <w:lvl w:ilvl="0" w:tplc="1F1CF416">
      <w:start w:val="1"/>
      <w:numFmt w:val="bullet"/>
      <w:lvlText w:val=""/>
      <w:lvlJc w:val="left"/>
      <w:pPr>
        <w:ind w:left="360" w:hanging="360"/>
      </w:pPr>
      <w:rPr>
        <w:rFonts w:ascii="Wingdings" w:hAnsi="Wingdings" w:hint="default"/>
        <w:b/>
        <w:i w:val="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385E256D"/>
    <w:multiLevelType w:val="hybridMultilevel"/>
    <w:tmpl w:val="2272EE2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389615C6"/>
    <w:multiLevelType w:val="hybridMultilevel"/>
    <w:tmpl w:val="6A5812A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420167F7"/>
    <w:multiLevelType w:val="hybridMultilevel"/>
    <w:tmpl w:val="59AC884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46612B1D"/>
    <w:multiLevelType w:val="hybridMultilevel"/>
    <w:tmpl w:val="7250FE2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478A3371"/>
    <w:multiLevelType w:val="hybridMultilevel"/>
    <w:tmpl w:val="253011F6"/>
    <w:lvl w:ilvl="0" w:tplc="1F1CF416">
      <w:start w:val="1"/>
      <w:numFmt w:val="bullet"/>
      <w:lvlText w:val=""/>
      <w:lvlJc w:val="left"/>
      <w:pPr>
        <w:ind w:left="360" w:hanging="360"/>
      </w:pPr>
      <w:rPr>
        <w:rFonts w:ascii="Wingdings" w:hAnsi="Wingdings" w:hint="default"/>
        <w:b/>
        <w:i w:val="0"/>
        <w:sz w:val="2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nsid w:val="498C3B2E"/>
    <w:multiLevelType w:val="hybridMultilevel"/>
    <w:tmpl w:val="29703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C3439CC"/>
    <w:multiLevelType w:val="hybridMultilevel"/>
    <w:tmpl w:val="3F40023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4DC25E9A"/>
    <w:multiLevelType w:val="hybridMultilevel"/>
    <w:tmpl w:val="2E0C039A"/>
    <w:lvl w:ilvl="0" w:tplc="1F1CF416">
      <w:start w:val="1"/>
      <w:numFmt w:val="bullet"/>
      <w:lvlText w:val=""/>
      <w:lvlJc w:val="left"/>
      <w:pPr>
        <w:ind w:left="360" w:hanging="360"/>
      </w:pPr>
      <w:rPr>
        <w:rFonts w:ascii="Wingdings" w:hAnsi="Wingdings" w:hint="default"/>
        <w:b/>
        <w:i w:val="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4DC94AA2"/>
    <w:multiLevelType w:val="hybridMultilevel"/>
    <w:tmpl w:val="D93098D8"/>
    <w:lvl w:ilvl="0" w:tplc="E7705AAE">
      <w:start w:val="1"/>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54174EB"/>
    <w:multiLevelType w:val="hybridMultilevel"/>
    <w:tmpl w:val="3DBA854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5B4E00CC"/>
    <w:multiLevelType w:val="hybridMultilevel"/>
    <w:tmpl w:val="964C6E3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5DD4478D"/>
    <w:multiLevelType w:val="hybridMultilevel"/>
    <w:tmpl w:val="E0DCF35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624003D8"/>
    <w:multiLevelType w:val="hybridMultilevel"/>
    <w:tmpl w:val="B704840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69B935C8"/>
    <w:multiLevelType w:val="hybridMultilevel"/>
    <w:tmpl w:val="117AB13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6FFF5485"/>
    <w:multiLevelType w:val="hybridMultilevel"/>
    <w:tmpl w:val="0D9EA18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71092CFF"/>
    <w:multiLevelType w:val="hybridMultilevel"/>
    <w:tmpl w:val="889C498A"/>
    <w:lvl w:ilvl="0" w:tplc="DBD28D70">
      <w:start w:val="1"/>
      <w:numFmt w:val="bullet"/>
      <w:lvlText w:val=""/>
      <w:lvlJc w:val="left"/>
      <w:pPr>
        <w:ind w:left="720" w:hanging="360"/>
      </w:pPr>
      <w:rPr>
        <w:rFonts w:ascii="Wingdings" w:hAnsi="Wingdings"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1564E57"/>
    <w:multiLevelType w:val="hybridMultilevel"/>
    <w:tmpl w:val="8ED8830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15B7C0B"/>
    <w:multiLevelType w:val="hybridMultilevel"/>
    <w:tmpl w:val="B942921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717325F5"/>
    <w:multiLevelType w:val="hybridMultilevel"/>
    <w:tmpl w:val="C83E8D9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73206DE3"/>
    <w:multiLevelType w:val="hybridMultilevel"/>
    <w:tmpl w:val="BD1693E0"/>
    <w:lvl w:ilvl="0" w:tplc="1F1CF416">
      <w:start w:val="1"/>
      <w:numFmt w:val="bullet"/>
      <w:lvlText w:val=""/>
      <w:lvlJc w:val="left"/>
      <w:pPr>
        <w:ind w:left="360" w:hanging="360"/>
      </w:pPr>
      <w:rPr>
        <w:rFonts w:ascii="Wingdings" w:hAnsi="Wingdings" w:hint="default"/>
        <w:b/>
        <w:i w:val="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73E26FCA"/>
    <w:multiLevelType w:val="hybridMultilevel"/>
    <w:tmpl w:val="83D29CB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7D866083"/>
    <w:multiLevelType w:val="hybridMultilevel"/>
    <w:tmpl w:val="C19E4BF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7"/>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num>
  <w:num w:numId="6">
    <w:abstractNumId w:val="5"/>
  </w:num>
  <w:num w:numId="7">
    <w:abstractNumId w:val="11"/>
  </w:num>
  <w:num w:numId="8">
    <w:abstractNumId w:val="3"/>
  </w:num>
  <w:num w:numId="9">
    <w:abstractNumId w:val="23"/>
  </w:num>
  <w:num w:numId="10">
    <w:abstractNumId w:val="2"/>
  </w:num>
  <w:num w:numId="11">
    <w:abstractNumId w:val="9"/>
  </w:num>
  <w:num w:numId="12">
    <w:abstractNumId w:val="0"/>
  </w:num>
  <w:num w:numId="13">
    <w:abstractNumId w:val="17"/>
  </w:num>
  <w:num w:numId="14">
    <w:abstractNumId w:val="18"/>
  </w:num>
  <w:num w:numId="15">
    <w:abstractNumId w:val="13"/>
  </w:num>
  <w:num w:numId="16">
    <w:abstractNumId w:val="6"/>
  </w:num>
  <w:num w:numId="17">
    <w:abstractNumId w:val="14"/>
  </w:num>
  <w:num w:numId="18">
    <w:abstractNumId w:val="24"/>
  </w:num>
  <w:num w:numId="19">
    <w:abstractNumId w:val="22"/>
  </w:num>
  <w:num w:numId="20">
    <w:abstractNumId w:val="16"/>
  </w:num>
  <w:num w:numId="21">
    <w:abstractNumId w:val="21"/>
  </w:num>
  <w:num w:numId="22">
    <w:abstractNumId w:val="4"/>
  </w:num>
  <w:num w:numId="23">
    <w:abstractNumId w:val="10"/>
  </w:num>
  <w:num w:numId="24">
    <w:abstractNumId w:val="20"/>
  </w:num>
  <w:num w:numId="25">
    <w:abstractNumId w:val="25"/>
  </w:num>
  <w:num w:numId="26">
    <w:abstractNumId w:val="15"/>
  </w:num>
  <w:num w:numId="27">
    <w:abstractNumId w:val="1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FE"/>
    <w:rsid w:val="000040C5"/>
    <w:rsid w:val="00013E71"/>
    <w:rsid w:val="00017CD5"/>
    <w:rsid w:val="000267A6"/>
    <w:rsid w:val="0003401F"/>
    <w:rsid w:val="000638F2"/>
    <w:rsid w:val="00063CD3"/>
    <w:rsid w:val="00065B74"/>
    <w:rsid w:val="00072A35"/>
    <w:rsid w:val="00083203"/>
    <w:rsid w:val="000836F0"/>
    <w:rsid w:val="000909B0"/>
    <w:rsid w:val="000A2776"/>
    <w:rsid w:val="000B042C"/>
    <w:rsid w:val="000B166E"/>
    <w:rsid w:val="000B6DCC"/>
    <w:rsid w:val="000C1287"/>
    <w:rsid w:val="000C19A4"/>
    <w:rsid w:val="000C599F"/>
    <w:rsid w:val="000D147D"/>
    <w:rsid w:val="000D6B84"/>
    <w:rsid w:val="000E2197"/>
    <w:rsid w:val="000E2CC3"/>
    <w:rsid w:val="000E4E23"/>
    <w:rsid w:val="000F1E78"/>
    <w:rsid w:val="000F576E"/>
    <w:rsid w:val="00123C15"/>
    <w:rsid w:val="00144FFE"/>
    <w:rsid w:val="001633AC"/>
    <w:rsid w:val="00175B20"/>
    <w:rsid w:val="0018686F"/>
    <w:rsid w:val="00190731"/>
    <w:rsid w:val="0019613A"/>
    <w:rsid w:val="001A3EED"/>
    <w:rsid w:val="001A56AE"/>
    <w:rsid w:val="001B1774"/>
    <w:rsid w:val="001C7FBC"/>
    <w:rsid w:val="001E6474"/>
    <w:rsid w:val="001F5D77"/>
    <w:rsid w:val="00212C53"/>
    <w:rsid w:val="002151D9"/>
    <w:rsid w:val="00216ED3"/>
    <w:rsid w:val="002247AD"/>
    <w:rsid w:val="0023343E"/>
    <w:rsid w:val="0024475E"/>
    <w:rsid w:val="0024554B"/>
    <w:rsid w:val="00252C56"/>
    <w:rsid w:val="0025429F"/>
    <w:rsid w:val="00255A3F"/>
    <w:rsid w:val="00261873"/>
    <w:rsid w:val="00275DD5"/>
    <w:rsid w:val="00295A2A"/>
    <w:rsid w:val="00296377"/>
    <w:rsid w:val="002C01D0"/>
    <w:rsid w:val="002C54C3"/>
    <w:rsid w:val="002C6041"/>
    <w:rsid w:val="002C63CE"/>
    <w:rsid w:val="002E3F44"/>
    <w:rsid w:val="002F6FF3"/>
    <w:rsid w:val="002F7651"/>
    <w:rsid w:val="00314915"/>
    <w:rsid w:val="00323545"/>
    <w:rsid w:val="00330286"/>
    <w:rsid w:val="0033546F"/>
    <w:rsid w:val="00352E82"/>
    <w:rsid w:val="00366BEB"/>
    <w:rsid w:val="00383B6D"/>
    <w:rsid w:val="003A47C6"/>
    <w:rsid w:val="003A5B4C"/>
    <w:rsid w:val="003C4CDA"/>
    <w:rsid w:val="003D546F"/>
    <w:rsid w:val="003E0A5E"/>
    <w:rsid w:val="003E5898"/>
    <w:rsid w:val="003E5C00"/>
    <w:rsid w:val="00404559"/>
    <w:rsid w:val="00412B22"/>
    <w:rsid w:val="00414E9E"/>
    <w:rsid w:val="00415128"/>
    <w:rsid w:val="004247B6"/>
    <w:rsid w:val="004331D1"/>
    <w:rsid w:val="004447B5"/>
    <w:rsid w:val="00446225"/>
    <w:rsid w:val="00446E19"/>
    <w:rsid w:val="00456D7E"/>
    <w:rsid w:val="004727D4"/>
    <w:rsid w:val="004747D9"/>
    <w:rsid w:val="004959F3"/>
    <w:rsid w:val="004B3D59"/>
    <w:rsid w:val="004B408C"/>
    <w:rsid w:val="004B4C29"/>
    <w:rsid w:val="004B6142"/>
    <w:rsid w:val="004E1371"/>
    <w:rsid w:val="004E365C"/>
    <w:rsid w:val="00506910"/>
    <w:rsid w:val="005153D5"/>
    <w:rsid w:val="005211A9"/>
    <w:rsid w:val="0052398F"/>
    <w:rsid w:val="005278EC"/>
    <w:rsid w:val="00540F91"/>
    <w:rsid w:val="00555520"/>
    <w:rsid w:val="00557CCB"/>
    <w:rsid w:val="0056531F"/>
    <w:rsid w:val="005654D2"/>
    <w:rsid w:val="0056751E"/>
    <w:rsid w:val="00582EBF"/>
    <w:rsid w:val="0058677C"/>
    <w:rsid w:val="005871C3"/>
    <w:rsid w:val="00587354"/>
    <w:rsid w:val="00592B84"/>
    <w:rsid w:val="00595FBF"/>
    <w:rsid w:val="005A25B4"/>
    <w:rsid w:val="005B4EF5"/>
    <w:rsid w:val="005D2531"/>
    <w:rsid w:val="00603A58"/>
    <w:rsid w:val="0061559F"/>
    <w:rsid w:val="00616F9F"/>
    <w:rsid w:val="00644EFC"/>
    <w:rsid w:val="00656039"/>
    <w:rsid w:val="00660D83"/>
    <w:rsid w:val="006761FB"/>
    <w:rsid w:val="00680FBF"/>
    <w:rsid w:val="006866BD"/>
    <w:rsid w:val="006A068B"/>
    <w:rsid w:val="006C1405"/>
    <w:rsid w:val="006D1D8D"/>
    <w:rsid w:val="006E0215"/>
    <w:rsid w:val="006E0748"/>
    <w:rsid w:val="006E54CD"/>
    <w:rsid w:val="006E5B37"/>
    <w:rsid w:val="006E6F9A"/>
    <w:rsid w:val="006F629D"/>
    <w:rsid w:val="00712433"/>
    <w:rsid w:val="00717BEB"/>
    <w:rsid w:val="00746C4E"/>
    <w:rsid w:val="00747FCE"/>
    <w:rsid w:val="00772B5D"/>
    <w:rsid w:val="00772E88"/>
    <w:rsid w:val="007741B1"/>
    <w:rsid w:val="00774659"/>
    <w:rsid w:val="00774F35"/>
    <w:rsid w:val="00780D3C"/>
    <w:rsid w:val="00791B88"/>
    <w:rsid w:val="007924BD"/>
    <w:rsid w:val="007A5525"/>
    <w:rsid w:val="007B3213"/>
    <w:rsid w:val="007B5643"/>
    <w:rsid w:val="007B67B0"/>
    <w:rsid w:val="007B7DEE"/>
    <w:rsid w:val="007C2DD7"/>
    <w:rsid w:val="007C66A3"/>
    <w:rsid w:val="007D3492"/>
    <w:rsid w:val="007E23E8"/>
    <w:rsid w:val="007F7506"/>
    <w:rsid w:val="008360C2"/>
    <w:rsid w:val="00853CE4"/>
    <w:rsid w:val="00856F2A"/>
    <w:rsid w:val="008574EB"/>
    <w:rsid w:val="00860B3D"/>
    <w:rsid w:val="00861895"/>
    <w:rsid w:val="00864A79"/>
    <w:rsid w:val="00876FE3"/>
    <w:rsid w:val="00892353"/>
    <w:rsid w:val="008C2A46"/>
    <w:rsid w:val="008D06CF"/>
    <w:rsid w:val="008D47A9"/>
    <w:rsid w:val="008E3820"/>
    <w:rsid w:val="008E53F8"/>
    <w:rsid w:val="008E6563"/>
    <w:rsid w:val="008F56F1"/>
    <w:rsid w:val="00900CFA"/>
    <w:rsid w:val="0090655B"/>
    <w:rsid w:val="00907D79"/>
    <w:rsid w:val="00912DAA"/>
    <w:rsid w:val="00920987"/>
    <w:rsid w:val="00937566"/>
    <w:rsid w:val="00941D35"/>
    <w:rsid w:val="00947AE4"/>
    <w:rsid w:val="00952DD2"/>
    <w:rsid w:val="00961B56"/>
    <w:rsid w:val="009628E2"/>
    <w:rsid w:val="0096573B"/>
    <w:rsid w:val="00984C58"/>
    <w:rsid w:val="00990646"/>
    <w:rsid w:val="009944C7"/>
    <w:rsid w:val="009966E6"/>
    <w:rsid w:val="009B03D7"/>
    <w:rsid w:val="009B689A"/>
    <w:rsid w:val="009C3E57"/>
    <w:rsid w:val="009D7576"/>
    <w:rsid w:val="009E1FDD"/>
    <w:rsid w:val="00A0323D"/>
    <w:rsid w:val="00A048FA"/>
    <w:rsid w:val="00A20198"/>
    <w:rsid w:val="00A44B3F"/>
    <w:rsid w:val="00A514B4"/>
    <w:rsid w:val="00A56B15"/>
    <w:rsid w:val="00A62671"/>
    <w:rsid w:val="00A65680"/>
    <w:rsid w:val="00A66B0F"/>
    <w:rsid w:val="00A75CE6"/>
    <w:rsid w:val="00A76A36"/>
    <w:rsid w:val="00A81D88"/>
    <w:rsid w:val="00A81F39"/>
    <w:rsid w:val="00A90A94"/>
    <w:rsid w:val="00A92B4C"/>
    <w:rsid w:val="00AA5457"/>
    <w:rsid w:val="00AB6534"/>
    <w:rsid w:val="00AD77DB"/>
    <w:rsid w:val="00AE1AE6"/>
    <w:rsid w:val="00B00565"/>
    <w:rsid w:val="00B168D6"/>
    <w:rsid w:val="00B20100"/>
    <w:rsid w:val="00B2282C"/>
    <w:rsid w:val="00B2642B"/>
    <w:rsid w:val="00B31819"/>
    <w:rsid w:val="00B456C9"/>
    <w:rsid w:val="00B52166"/>
    <w:rsid w:val="00B547AD"/>
    <w:rsid w:val="00B72B0B"/>
    <w:rsid w:val="00B74726"/>
    <w:rsid w:val="00B959D2"/>
    <w:rsid w:val="00B97F47"/>
    <w:rsid w:val="00BB07E5"/>
    <w:rsid w:val="00BD128E"/>
    <w:rsid w:val="00BF7890"/>
    <w:rsid w:val="00BF7DBA"/>
    <w:rsid w:val="00C157CF"/>
    <w:rsid w:val="00C163C1"/>
    <w:rsid w:val="00C4179E"/>
    <w:rsid w:val="00C42E55"/>
    <w:rsid w:val="00C51983"/>
    <w:rsid w:val="00C75D53"/>
    <w:rsid w:val="00C96F42"/>
    <w:rsid w:val="00CB486F"/>
    <w:rsid w:val="00CD185C"/>
    <w:rsid w:val="00CF6B0E"/>
    <w:rsid w:val="00D12469"/>
    <w:rsid w:val="00D262F8"/>
    <w:rsid w:val="00D607E8"/>
    <w:rsid w:val="00D61161"/>
    <w:rsid w:val="00D64F7E"/>
    <w:rsid w:val="00D715BF"/>
    <w:rsid w:val="00D743B1"/>
    <w:rsid w:val="00D7474F"/>
    <w:rsid w:val="00D752B8"/>
    <w:rsid w:val="00D7617E"/>
    <w:rsid w:val="00D80F23"/>
    <w:rsid w:val="00D82B17"/>
    <w:rsid w:val="00D90DDF"/>
    <w:rsid w:val="00D9147E"/>
    <w:rsid w:val="00DA2373"/>
    <w:rsid w:val="00DC7819"/>
    <w:rsid w:val="00DD164F"/>
    <w:rsid w:val="00DD2E68"/>
    <w:rsid w:val="00E104CF"/>
    <w:rsid w:val="00E10F93"/>
    <w:rsid w:val="00E31E46"/>
    <w:rsid w:val="00E32E94"/>
    <w:rsid w:val="00E3348B"/>
    <w:rsid w:val="00E34BCB"/>
    <w:rsid w:val="00E44330"/>
    <w:rsid w:val="00E44A6D"/>
    <w:rsid w:val="00E45B56"/>
    <w:rsid w:val="00E461CB"/>
    <w:rsid w:val="00E570D0"/>
    <w:rsid w:val="00EB52A8"/>
    <w:rsid w:val="00ED145E"/>
    <w:rsid w:val="00EE712F"/>
    <w:rsid w:val="00EE73BB"/>
    <w:rsid w:val="00F00F06"/>
    <w:rsid w:val="00F12B43"/>
    <w:rsid w:val="00F13EAE"/>
    <w:rsid w:val="00F25576"/>
    <w:rsid w:val="00F260E7"/>
    <w:rsid w:val="00F41C5C"/>
    <w:rsid w:val="00F443CB"/>
    <w:rsid w:val="00F54313"/>
    <w:rsid w:val="00FA1E60"/>
    <w:rsid w:val="00FA4BDF"/>
    <w:rsid w:val="00FA4D64"/>
    <w:rsid w:val="00FB2C4D"/>
    <w:rsid w:val="00FC31EE"/>
    <w:rsid w:val="00FF5B6D"/>
    <w:rsid w:val="00FF5B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C4E"/>
  </w:style>
  <w:style w:type="paragraph" w:styleId="Ttulo3">
    <w:name w:val="heading 3"/>
    <w:basedOn w:val="Normal"/>
    <w:link w:val="Ttulo3Car"/>
    <w:uiPriority w:val="9"/>
    <w:qFormat/>
    <w:rsid w:val="00D1246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4F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44FF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FFE"/>
    <w:rPr>
      <w:rFonts w:ascii="Tahoma" w:hAnsi="Tahoma" w:cs="Tahoma"/>
      <w:sz w:val="16"/>
      <w:szCs w:val="16"/>
    </w:rPr>
  </w:style>
  <w:style w:type="paragraph" w:styleId="Encabezado">
    <w:name w:val="header"/>
    <w:basedOn w:val="Normal"/>
    <w:link w:val="EncabezadoCar"/>
    <w:rsid w:val="006A068B"/>
    <w:pPr>
      <w:tabs>
        <w:tab w:val="center" w:pos="4252"/>
        <w:tab w:val="right" w:pos="8504"/>
      </w:tabs>
      <w:spacing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6A068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2354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23545"/>
  </w:style>
  <w:style w:type="paragraph" w:styleId="Prrafodelista">
    <w:name w:val="List Paragraph"/>
    <w:basedOn w:val="Normal"/>
    <w:link w:val="PrrafodelistaCar"/>
    <w:uiPriority w:val="34"/>
    <w:qFormat/>
    <w:rsid w:val="00F13EAE"/>
    <w:pPr>
      <w:ind w:left="720"/>
      <w:contextualSpacing/>
    </w:pPr>
  </w:style>
  <w:style w:type="character" w:styleId="Hipervnculo">
    <w:name w:val="Hyperlink"/>
    <w:basedOn w:val="Fuentedeprrafopredeter"/>
    <w:uiPriority w:val="99"/>
    <w:unhideWhenUsed/>
    <w:rsid w:val="00FF5BE7"/>
    <w:rPr>
      <w:color w:val="0000FF"/>
      <w:u w:val="single"/>
    </w:rPr>
  </w:style>
  <w:style w:type="character" w:customStyle="1" w:styleId="Ttulo3Car">
    <w:name w:val="Título 3 Car"/>
    <w:basedOn w:val="Fuentedeprrafopredeter"/>
    <w:link w:val="Ttulo3"/>
    <w:uiPriority w:val="9"/>
    <w:rsid w:val="00D12469"/>
    <w:rPr>
      <w:rFonts w:ascii="Times New Roman" w:eastAsia="Times New Roman" w:hAnsi="Times New Roman" w:cs="Times New Roman"/>
      <w:b/>
      <w:bCs/>
      <w:sz w:val="27"/>
      <w:szCs w:val="27"/>
      <w:lang w:eastAsia="es-ES"/>
    </w:rPr>
  </w:style>
  <w:style w:type="character" w:customStyle="1" w:styleId="PrrafodelistaCar">
    <w:name w:val="Párrafo de lista Car"/>
    <w:basedOn w:val="Fuentedeprrafopredeter"/>
    <w:link w:val="Prrafodelista"/>
    <w:uiPriority w:val="34"/>
    <w:rsid w:val="009966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C4E"/>
  </w:style>
  <w:style w:type="paragraph" w:styleId="Ttulo3">
    <w:name w:val="heading 3"/>
    <w:basedOn w:val="Normal"/>
    <w:link w:val="Ttulo3Car"/>
    <w:uiPriority w:val="9"/>
    <w:qFormat/>
    <w:rsid w:val="00D1246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4F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44FF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FFE"/>
    <w:rPr>
      <w:rFonts w:ascii="Tahoma" w:hAnsi="Tahoma" w:cs="Tahoma"/>
      <w:sz w:val="16"/>
      <w:szCs w:val="16"/>
    </w:rPr>
  </w:style>
  <w:style w:type="paragraph" w:styleId="Encabezado">
    <w:name w:val="header"/>
    <w:basedOn w:val="Normal"/>
    <w:link w:val="EncabezadoCar"/>
    <w:rsid w:val="006A068B"/>
    <w:pPr>
      <w:tabs>
        <w:tab w:val="center" w:pos="4252"/>
        <w:tab w:val="right" w:pos="8504"/>
      </w:tabs>
      <w:spacing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6A068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2354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23545"/>
  </w:style>
  <w:style w:type="paragraph" w:styleId="Prrafodelista">
    <w:name w:val="List Paragraph"/>
    <w:basedOn w:val="Normal"/>
    <w:link w:val="PrrafodelistaCar"/>
    <w:uiPriority w:val="34"/>
    <w:qFormat/>
    <w:rsid w:val="00F13EAE"/>
    <w:pPr>
      <w:ind w:left="720"/>
      <w:contextualSpacing/>
    </w:pPr>
  </w:style>
  <w:style w:type="character" w:styleId="Hipervnculo">
    <w:name w:val="Hyperlink"/>
    <w:basedOn w:val="Fuentedeprrafopredeter"/>
    <w:uiPriority w:val="99"/>
    <w:unhideWhenUsed/>
    <w:rsid w:val="00FF5BE7"/>
    <w:rPr>
      <w:color w:val="0000FF"/>
      <w:u w:val="single"/>
    </w:rPr>
  </w:style>
  <w:style w:type="character" w:customStyle="1" w:styleId="Ttulo3Car">
    <w:name w:val="Título 3 Car"/>
    <w:basedOn w:val="Fuentedeprrafopredeter"/>
    <w:link w:val="Ttulo3"/>
    <w:uiPriority w:val="9"/>
    <w:rsid w:val="00D12469"/>
    <w:rPr>
      <w:rFonts w:ascii="Times New Roman" w:eastAsia="Times New Roman" w:hAnsi="Times New Roman" w:cs="Times New Roman"/>
      <w:b/>
      <w:bCs/>
      <w:sz w:val="27"/>
      <w:szCs w:val="27"/>
      <w:lang w:eastAsia="es-ES"/>
    </w:rPr>
  </w:style>
  <w:style w:type="character" w:customStyle="1" w:styleId="PrrafodelistaCar">
    <w:name w:val="Párrafo de lista Car"/>
    <w:basedOn w:val="Fuentedeprrafopredeter"/>
    <w:link w:val="Prrafodelista"/>
    <w:uiPriority w:val="34"/>
    <w:rsid w:val="00996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6975">
      <w:bodyDiv w:val="1"/>
      <w:marLeft w:val="0"/>
      <w:marRight w:val="0"/>
      <w:marTop w:val="0"/>
      <w:marBottom w:val="0"/>
      <w:divBdr>
        <w:top w:val="none" w:sz="0" w:space="0" w:color="auto"/>
        <w:left w:val="none" w:sz="0" w:space="0" w:color="auto"/>
        <w:bottom w:val="none" w:sz="0" w:space="0" w:color="auto"/>
        <w:right w:val="none" w:sz="0" w:space="0" w:color="auto"/>
      </w:divBdr>
    </w:div>
    <w:div w:id="421729995">
      <w:bodyDiv w:val="1"/>
      <w:marLeft w:val="0"/>
      <w:marRight w:val="0"/>
      <w:marTop w:val="0"/>
      <w:marBottom w:val="0"/>
      <w:divBdr>
        <w:top w:val="none" w:sz="0" w:space="0" w:color="auto"/>
        <w:left w:val="none" w:sz="0" w:space="0" w:color="auto"/>
        <w:bottom w:val="none" w:sz="0" w:space="0" w:color="auto"/>
        <w:right w:val="none" w:sz="0" w:space="0" w:color="auto"/>
      </w:divBdr>
    </w:div>
    <w:div w:id="439300539">
      <w:bodyDiv w:val="1"/>
      <w:marLeft w:val="0"/>
      <w:marRight w:val="0"/>
      <w:marTop w:val="0"/>
      <w:marBottom w:val="0"/>
      <w:divBdr>
        <w:top w:val="none" w:sz="0" w:space="0" w:color="auto"/>
        <w:left w:val="none" w:sz="0" w:space="0" w:color="auto"/>
        <w:bottom w:val="none" w:sz="0" w:space="0" w:color="auto"/>
        <w:right w:val="none" w:sz="0" w:space="0" w:color="auto"/>
      </w:divBdr>
    </w:div>
    <w:div w:id="851988195">
      <w:bodyDiv w:val="1"/>
      <w:marLeft w:val="0"/>
      <w:marRight w:val="0"/>
      <w:marTop w:val="0"/>
      <w:marBottom w:val="0"/>
      <w:divBdr>
        <w:top w:val="none" w:sz="0" w:space="0" w:color="auto"/>
        <w:left w:val="none" w:sz="0" w:space="0" w:color="auto"/>
        <w:bottom w:val="none" w:sz="0" w:space="0" w:color="auto"/>
        <w:right w:val="none" w:sz="0" w:space="0" w:color="auto"/>
      </w:divBdr>
    </w:div>
    <w:div w:id="947008584">
      <w:bodyDiv w:val="1"/>
      <w:marLeft w:val="0"/>
      <w:marRight w:val="0"/>
      <w:marTop w:val="0"/>
      <w:marBottom w:val="0"/>
      <w:divBdr>
        <w:top w:val="none" w:sz="0" w:space="0" w:color="auto"/>
        <w:left w:val="none" w:sz="0" w:space="0" w:color="auto"/>
        <w:bottom w:val="none" w:sz="0" w:space="0" w:color="auto"/>
        <w:right w:val="none" w:sz="0" w:space="0" w:color="auto"/>
      </w:divBdr>
    </w:div>
    <w:div w:id="1055809950">
      <w:bodyDiv w:val="1"/>
      <w:marLeft w:val="0"/>
      <w:marRight w:val="0"/>
      <w:marTop w:val="0"/>
      <w:marBottom w:val="0"/>
      <w:divBdr>
        <w:top w:val="none" w:sz="0" w:space="0" w:color="auto"/>
        <w:left w:val="none" w:sz="0" w:space="0" w:color="auto"/>
        <w:bottom w:val="none" w:sz="0" w:space="0" w:color="auto"/>
        <w:right w:val="none" w:sz="0" w:space="0" w:color="auto"/>
      </w:divBdr>
    </w:div>
    <w:div w:id="1614753348">
      <w:bodyDiv w:val="1"/>
      <w:marLeft w:val="0"/>
      <w:marRight w:val="0"/>
      <w:marTop w:val="0"/>
      <w:marBottom w:val="0"/>
      <w:divBdr>
        <w:top w:val="none" w:sz="0" w:space="0" w:color="auto"/>
        <w:left w:val="none" w:sz="0" w:space="0" w:color="auto"/>
        <w:bottom w:val="none" w:sz="0" w:space="0" w:color="auto"/>
        <w:right w:val="none" w:sz="0" w:space="0" w:color="auto"/>
      </w:divBdr>
      <w:divsChild>
        <w:div w:id="1835217502">
          <w:marLeft w:val="0"/>
          <w:marRight w:val="0"/>
          <w:marTop w:val="0"/>
          <w:marBottom w:val="0"/>
          <w:divBdr>
            <w:top w:val="none" w:sz="0" w:space="0" w:color="auto"/>
            <w:left w:val="none" w:sz="0" w:space="0" w:color="auto"/>
            <w:bottom w:val="none" w:sz="0" w:space="0" w:color="auto"/>
            <w:right w:val="none" w:sz="0" w:space="0" w:color="auto"/>
          </w:divBdr>
          <w:divsChild>
            <w:div w:id="946815090">
              <w:marLeft w:val="0"/>
              <w:marRight w:val="0"/>
              <w:marTop w:val="0"/>
              <w:marBottom w:val="0"/>
              <w:divBdr>
                <w:top w:val="none" w:sz="0" w:space="0" w:color="auto"/>
                <w:left w:val="none" w:sz="0" w:space="0" w:color="auto"/>
                <w:bottom w:val="none" w:sz="0" w:space="0" w:color="auto"/>
                <w:right w:val="none" w:sz="0" w:space="0" w:color="auto"/>
              </w:divBdr>
              <w:divsChild>
                <w:div w:id="870069430">
                  <w:marLeft w:val="0"/>
                  <w:marRight w:val="0"/>
                  <w:marTop w:val="0"/>
                  <w:marBottom w:val="0"/>
                  <w:divBdr>
                    <w:top w:val="none" w:sz="0" w:space="0" w:color="auto"/>
                    <w:left w:val="none" w:sz="0" w:space="0" w:color="auto"/>
                    <w:bottom w:val="none" w:sz="0" w:space="0" w:color="auto"/>
                    <w:right w:val="none" w:sz="0" w:space="0" w:color="auto"/>
                  </w:divBdr>
                  <w:divsChild>
                    <w:div w:id="727194924">
                      <w:marLeft w:val="0"/>
                      <w:marRight w:val="0"/>
                      <w:marTop w:val="0"/>
                      <w:marBottom w:val="0"/>
                      <w:divBdr>
                        <w:top w:val="none" w:sz="0" w:space="0" w:color="auto"/>
                        <w:left w:val="none" w:sz="0" w:space="0" w:color="auto"/>
                        <w:bottom w:val="none" w:sz="0" w:space="0" w:color="auto"/>
                        <w:right w:val="none" w:sz="0" w:space="0" w:color="auto"/>
                      </w:divBdr>
                      <w:divsChild>
                        <w:div w:id="1476024357">
                          <w:marLeft w:val="0"/>
                          <w:marRight w:val="0"/>
                          <w:marTop w:val="0"/>
                          <w:marBottom w:val="0"/>
                          <w:divBdr>
                            <w:top w:val="none" w:sz="0" w:space="0" w:color="auto"/>
                            <w:left w:val="none" w:sz="0" w:space="0" w:color="auto"/>
                            <w:bottom w:val="none" w:sz="0" w:space="0" w:color="auto"/>
                            <w:right w:val="none" w:sz="0" w:space="0" w:color="auto"/>
                          </w:divBdr>
                          <w:divsChild>
                            <w:div w:id="964386101">
                              <w:marLeft w:val="0"/>
                              <w:marRight w:val="0"/>
                              <w:marTop w:val="0"/>
                              <w:marBottom w:val="0"/>
                              <w:divBdr>
                                <w:top w:val="none" w:sz="0" w:space="0" w:color="auto"/>
                                <w:left w:val="none" w:sz="0" w:space="0" w:color="auto"/>
                                <w:bottom w:val="none" w:sz="0" w:space="0" w:color="auto"/>
                                <w:right w:val="none" w:sz="0" w:space="0" w:color="auto"/>
                              </w:divBdr>
                              <w:divsChild>
                                <w:div w:id="255943074">
                                  <w:marLeft w:val="0"/>
                                  <w:marRight w:val="0"/>
                                  <w:marTop w:val="0"/>
                                  <w:marBottom w:val="0"/>
                                  <w:divBdr>
                                    <w:top w:val="none" w:sz="0" w:space="0" w:color="auto"/>
                                    <w:left w:val="none" w:sz="0" w:space="0" w:color="auto"/>
                                    <w:bottom w:val="none" w:sz="0" w:space="0" w:color="auto"/>
                                    <w:right w:val="none" w:sz="0" w:space="0" w:color="auto"/>
                                  </w:divBdr>
                                  <w:divsChild>
                                    <w:div w:id="272174084">
                                      <w:marLeft w:val="0"/>
                                      <w:marRight w:val="0"/>
                                      <w:marTop w:val="0"/>
                                      <w:marBottom w:val="0"/>
                                      <w:divBdr>
                                        <w:top w:val="none" w:sz="0" w:space="0" w:color="auto"/>
                                        <w:left w:val="none" w:sz="0" w:space="0" w:color="auto"/>
                                        <w:bottom w:val="none" w:sz="0" w:space="0" w:color="auto"/>
                                        <w:right w:val="none" w:sz="0" w:space="0" w:color="auto"/>
                                      </w:divBdr>
                                      <w:divsChild>
                                        <w:div w:id="2055885530">
                                          <w:marLeft w:val="0"/>
                                          <w:marRight w:val="0"/>
                                          <w:marTop w:val="0"/>
                                          <w:marBottom w:val="0"/>
                                          <w:divBdr>
                                            <w:top w:val="none" w:sz="0" w:space="0" w:color="auto"/>
                                            <w:left w:val="none" w:sz="0" w:space="0" w:color="auto"/>
                                            <w:bottom w:val="none" w:sz="0" w:space="0" w:color="auto"/>
                                            <w:right w:val="none" w:sz="0" w:space="0" w:color="auto"/>
                                          </w:divBdr>
                                          <w:divsChild>
                                            <w:div w:id="1953703822">
                                              <w:marLeft w:val="0"/>
                                              <w:marRight w:val="0"/>
                                              <w:marTop w:val="0"/>
                                              <w:marBottom w:val="0"/>
                                              <w:divBdr>
                                                <w:top w:val="none" w:sz="0" w:space="0" w:color="auto"/>
                                                <w:left w:val="none" w:sz="0" w:space="0" w:color="auto"/>
                                                <w:bottom w:val="none" w:sz="0" w:space="0" w:color="auto"/>
                                                <w:right w:val="none" w:sz="0" w:space="0" w:color="auto"/>
                                              </w:divBdr>
                                              <w:divsChild>
                                                <w:div w:id="1168132364">
                                                  <w:marLeft w:val="0"/>
                                                  <w:marRight w:val="0"/>
                                                  <w:marTop w:val="0"/>
                                                  <w:marBottom w:val="0"/>
                                                  <w:divBdr>
                                                    <w:top w:val="none" w:sz="0" w:space="0" w:color="auto"/>
                                                    <w:left w:val="none" w:sz="0" w:space="0" w:color="auto"/>
                                                    <w:bottom w:val="none" w:sz="0" w:space="0" w:color="auto"/>
                                                    <w:right w:val="none" w:sz="0" w:space="0" w:color="auto"/>
                                                  </w:divBdr>
                                                  <w:divsChild>
                                                    <w:div w:id="1095974261">
                                                      <w:marLeft w:val="0"/>
                                                      <w:marRight w:val="0"/>
                                                      <w:marTop w:val="0"/>
                                                      <w:marBottom w:val="0"/>
                                                      <w:divBdr>
                                                        <w:top w:val="none" w:sz="0" w:space="0" w:color="auto"/>
                                                        <w:left w:val="none" w:sz="0" w:space="0" w:color="auto"/>
                                                        <w:bottom w:val="none" w:sz="0" w:space="0" w:color="auto"/>
                                                        <w:right w:val="none" w:sz="0" w:space="0" w:color="auto"/>
                                                      </w:divBdr>
                                                      <w:divsChild>
                                                        <w:div w:id="1864514559">
                                                          <w:marLeft w:val="0"/>
                                                          <w:marRight w:val="0"/>
                                                          <w:marTop w:val="0"/>
                                                          <w:marBottom w:val="0"/>
                                                          <w:divBdr>
                                                            <w:top w:val="none" w:sz="0" w:space="0" w:color="auto"/>
                                                            <w:left w:val="none" w:sz="0" w:space="0" w:color="auto"/>
                                                            <w:bottom w:val="none" w:sz="0" w:space="0" w:color="auto"/>
                                                            <w:right w:val="none" w:sz="0" w:space="0" w:color="auto"/>
                                                          </w:divBdr>
                                                          <w:divsChild>
                                                            <w:div w:id="177164063">
                                                              <w:marLeft w:val="0"/>
                                                              <w:marRight w:val="0"/>
                                                              <w:marTop w:val="0"/>
                                                              <w:marBottom w:val="0"/>
                                                              <w:divBdr>
                                                                <w:top w:val="none" w:sz="0" w:space="0" w:color="auto"/>
                                                                <w:left w:val="none" w:sz="0" w:space="0" w:color="auto"/>
                                                                <w:bottom w:val="none" w:sz="0" w:space="0" w:color="auto"/>
                                                                <w:right w:val="none" w:sz="0" w:space="0" w:color="auto"/>
                                                              </w:divBdr>
                                                              <w:divsChild>
                                                                <w:div w:id="1331955479">
                                                                  <w:marLeft w:val="0"/>
                                                                  <w:marRight w:val="0"/>
                                                                  <w:marTop w:val="0"/>
                                                                  <w:marBottom w:val="0"/>
                                                                  <w:divBdr>
                                                                    <w:top w:val="none" w:sz="0" w:space="0" w:color="auto"/>
                                                                    <w:left w:val="none" w:sz="0" w:space="0" w:color="auto"/>
                                                                    <w:bottom w:val="none" w:sz="0" w:space="0" w:color="auto"/>
                                                                    <w:right w:val="none" w:sz="0" w:space="0" w:color="auto"/>
                                                                  </w:divBdr>
                                                                  <w:divsChild>
                                                                    <w:div w:id="1891963504">
                                                                      <w:marLeft w:val="0"/>
                                                                      <w:marRight w:val="0"/>
                                                                      <w:marTop w:val="0"/>
                                                                      <w:marBottom w:val="0"/>
                                                                      <w:divBdr>
                                                                        <w:top w:val="none" w:sz="0" w:space="0" w:color="auto"/>
                                                                        <w:left w:val="none" w:sz="0" w:space="0" w:color="auto"/>
                                                                        <w:bottom w:val="none" w:sz="0" w:space="0" w:color="auto"/>
                                                                        <w:right w:val="none" w:sz="0" w:space="0" w:color="auto"/>
                                                                      </w:divBdr>
                                                                      <w:divsChild>
                                                                        <w:div w:id="1850287680">
                                                                          <w:marLeft w:val="0"/>
                                                                          <w:marRight w:val="0"/>
                                                                          <w:marTop w:val="0"/>
                                                                          <w:marBottom w:val="0"/>
                                                                          <w:divBdr>
                                                                            <w:top w:val="none" w:sz="0" w:space="0" w:color="auto"/>
                                                                            <w:left w:val="none" w:sz="0" w:space="0" w:color="auto"/>
                                                                            <w:bottom w:val="none" w:sz="0" w:space="0" w:color="auto"/>
                                                                            <w:right w:val="none" w:sz="0" w:space="0" w:color="auto"/>
                                                                          </w:divBdr>
                                                                          <w:divsChild>
                                                                            <w:div w:id="2081975974">
                                                                              <w:marLeft w:val="0"/>
                                                                              <w:marRight w:val="0"/>
                                                                              <w:marTop w:val="0"/>
                                                                              <w:marBottom w:val="0"/>
                                                                              <w:divBdr>
                                                                                <w:top w:val="none" w:sz="0" w:space="0" w:color="auto"/>
                                                                                <w:left w:val="none" w:sz="0" w:space="0" w:color="auto"/>
                                                                                <w:bottom w:val="none" w:sz="0" w:space="0" w:color="auto"/>
                                                                                <w:right w:val="none" w:sz="0" w:space="0" w:color="auto"/>
                                                                              </w:divBdr>
                                                                              <w:divsChild>
                                                                                <w:div w:id="1766804819">
                                                                                  <w:marLeft w:val="0"/>
                                                                                  <w:marRight w:val="0"/>
                                                                                  <w:marTop w:val="0"/>
                                                                                  <w:marBottom w:val="0"/>
                                                                                  <w:divBdr>
                                                                                    <w:top w:val="none" w:sz="0" w:space="0" w:color="auto"/>
                                                                                    <w:left w:val="none" w:sz="0" w:space="0" w:color="auto"/>
                                                                                    <w:bottom w:val="none" w:sz="0" w:space="0" w:color="auto"/>
                                                                                    <w:right w:val="none" w:sz="0" w:space="0" w:color="auto"/>
                                                                                  </w:divBdr>
                                                                                  <w:divsChild>
                                                                                    <w:div w:id="6580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2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EFA3A-0D30-4707-BAB1-49BCB48A7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975</Words>
  <Characters>5368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UJA</cp:lastModifiedBy>
  <cp:revision>50</cp:revision>
  <cp:lastPrinted>2013-12-20T12:42:00Z</cp:lastPrinted>
  <dcterms:created xsi:type="dcterms:W3CDTF">2014-09-08T07:06:00Z</dcterms:created>
  <dcterms:modified xsi:type="dcterms:W3CDTF">2015-09-24T11:33:00Z</dcterms:modified>
</cp:coreProperties>
</file>