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C0" w:rsidRDefault="00B82FC0"/>
    <w:tbl>
      <w:tblPr>
        <w:tblStyle w:val="Tablaconcuadrcula"/>
        <w:tblW w:w="0" w:type="auto"/>
        <w:tblInd w:w="108" w:type="dxa"/>
        <w:tblLook w:val="04A0" w:firstRow="1" w:lastRow="0" w:firstColumn="1" w:lastColumn="0" w:noHBand="0" w:noVBand="1"/>
      </w:tblPr>
      <w:tblGrid>
        <w:gridCol w:w="1341"/>
        <w:gridCol w:w="1865"/>
        <w:gridCol w:w="243"/>
        <w:gridCol w:w="222"/>
        <w:gridCol w:w="1808"/>
        <w:gridCol w:w="31"/>
        <w:gridCol w:w="1203"/>
        <w:gridCol w:w="320"/>
        <w:gridCol w:w="3541"/>
      </w:tblGrid>
      <w:tr w:rsidR="005C4A3E" w:rsidTr="00AA712C">
        <w:tc>
          <w:tcPr>
            <w:tcW w:w="10574" w:type="dxa"/>
            <w:gridSpan w:val="9"/>
            <w:shd w:val="clear" w:color="auto" w:fill="D9D9D9" w:themeFill="background1" w:themeFillShade="D9"/>
          </w:tcPr>
          <w:p w:rsidR="005C4A3E" w:rsidRPr="00E1310B" w:rsidRDefault="005C4A3E" w:rsidP="006550C2">
            <w:pPr>
              <w:jc w:val="center"/>
              <w:rPr>
                <w:b/>
              </w:rPr>
            </w:pPr>
            <w:r w:rsidRPr="00E1310B">
              <w:rPr>
                <w:b/>
              </w:rPr>
              <w:t>INFORME DE ACTIVIDADES DE AUDITORÍA INTERNA DE SEGUIMIENTO 201</w:t>
            </w:r>
            <w:r w:rsidR="006550C2">
              <w:rPr>
                <w:b/>
              </w:rPr>
              <w:t>5</w:t>
            </w:r>
            <w:r w:rsidRPr="00E1310B">
              <w:rPr>
                <w:b/>
              </w:rPr>
              <w:t>.</w:t>
            </w:r>
          </w:p>
        </w:tc>
      </w:tr>
      <w:tr w:rsidR="005C4A3E" w:rsidTr="00F56513">
        <w:tc>
          <w:tcPr>
            <w:tcW w:w="3671" w:type="dxa"/>
            <w:gridSpan w:val="4"/>
            <w:shd w:val="clear" w:color="auto" w:fill="D9D9D9" w:themeFill="background1" w:themeFillShade="D9"/>
          </w:tcPr>
          <w:p w:rsidR="005C4A3E" w:rsidRPr="001B7195" w:rsidRDefault="005C4A3E">
            <w:pPr>
              <w:rPr>
                <w:b/>
              </w:rPr>
            </w:pPr>
            <w:r w:rsidRPr="001B7195">
              <w:rPr>
                <w:b/>
              </w:rPr>
              <w:t xml:space="preserve">PROCESO CLAVE </w:t>
            </w:r>
          </w:p>
        </w:tc>
        <w:tc>
          <w:tcPr>
            <w:tcW w:w="6903" w:type="dxa"/>
            <w:gridSpan w:val="5"/>
          </w:tcPr>
          <w:p w:rsidR="005C4A3E" w:rsidRPr="00E95F09" w:rsidRDefault="00976C65" w:rsidP="006550C2">
            <w:pPr>
              <w:tabs>
                <w:tab w:val="left" w:pos="5475"/>
              </w:tabs>
            </w:pPr>
            <w:r w:rsidRPr="00976C65">
              <w:t>PC 08. GESTIÓN DE LA PRESTACIÓN DE SERVICIOS DE APOYO CIENTÍFICO TÉCNICO.</w:t>
            </w:r>
          </w:p>
        </w:tc>
      </w:tr>
      <w:tr w:rsidR="00A27283" w:rsidTr="00F56513">
        <w:tc>
          <w:tcPr>
            <w:tcW w:w="5479" w:type="dxa"/>
            <w:gridSpan w:val="5"/>
            <w:shd w:val="clear" w:color="auto" w:fill="D9D9D9" w:themeFill="background1" w:themeFillShade="D9"/>
          </w:tcPr>
          <w:p w:rsidR="00A27283" w:rsidRPr="00833C7D" w:rsidRDefault="00AF6DA0" w:rsidP="00AF6DA0">
            <w:pPr>
              <w:rPr>
                <w:b/>
              </w:rPr>
            </w:pPr>
            <w:r>
              <w:rPr>
                <w:b/>
              </w:rPr>
              <w:t xml:space="preserve">FECHA: DÍA Y HORA </w:t>
            </w:r>
            <w:r w:rsidR="00A27283" w:rsidRPr="00833C7D">
              <w:rPr>
                <w:b/>
              </w:rPr>
              <w:t>DE REALIZACIÓN DE LA AUDITORÍA</w:t>
            </w:r>
            <w:r>
              <w:rPr>
                <w:b/>
              </w:rPr>
              <w:t>.</w:t>
            </w:r>
          </w:p>
        </w:tc>
        <w:tc>
          <w:tcPr>
            <w:tcW w:w="5095" w:type="dxa"/>
            <w:gridSpan w:val="4"/>
            <w:shd w:val="clear" w:color="auto" w:fill="FFFFFF" w:themeFill="background1"/>
          </w:tcPr>
          <w:p w:rsidR="00A27283" w:rsidRDefault="00A97A39" w:rsidP="00A27283">
            <w:r>
              <w:t>Lunes, 21 de Septiembre a las 9 horas</w:t>
            </w:r>
          </w:p>
        </w:tc>
      </w:tr>
      <w:tr w:rsidR="00200960" w:rsidTr="00F56513">
        <w:trPr>
          <w:trHeight w:val="1158"/>
        </w:trPr>
        <w:tc>
          <w:tcPr>
            <w:tcW w:w="3449" w:type="dxa"/>
            <w:gridSpan w:val="3"/>
            <w:shd w:val="clear" w:color="auto" w:fill="D9D9D9" w:themeFill="background1" w:themeFillShade="D9"/>
            <w:vAlign w:val="center"/>
          </w:tcPr>
          <w:p w:rsidR="00200960" w:rsidRPr="00833C7D" w:rsidRDefault="00200960" w:rsidP="00043AD8">
            <w:pPr>
              <w:rPr>
                <w:b/>
              </w:rPr>
            </w:pPr>
            <w:r>
              <w:rPr>
                <w:b/>
              </w:rPr>
              <w:t>EQUIPO AUDITOR DEL PROCESO</w:t>
            </w:r>
            <w:r w:rsidRPr="00833C7D">
              <w:rPr>
                <w:b/>
              </w:rPr>
              <w:t>:</w:t>
            </w:r>
          </w:p>
        </w:tc>
        <w:tc>
          <w:tcPr>
            <w:tcW w:w="7125" w:type="dxa"/>
            <w:gridSpan w:val="6"/>
          </w:tcPr>
          <w:p w:rsidR="00200960" w:rsidRDefault="00D412F0" w:rsidP="00043AD8">
            <w:pPr>
              <w:spacing w:after="200"/>
            </w:pPr>
            <w:r>
              <w:t>Auditor c</w:t>
            </w:r>
            <w:r w:rsidR="00200960">
              <w:t>oordinador de proceso:</w:t>
            </w:r>
            <w:r w:rsidR="008610CD">
              <w:t xml:space="preserve"> </w:t>
            </w:r>
            <w:r w:rsidR="00A97A39">
              <w:t>Francisco David Susí García</w:t>
            </w:r>
          </w:p>
          <w:p w:rsidR="0037793B" w:rsidRDefault="00200960" w:rsidP="00B93D6F">
            <w:pPr>
              <w:spacing w:after="200"/>
            </w:pPr>
            <w:r>
              <w:t>Auditor</w:t>
            </w:r>
            <w:r w:rsidR="0037793B">
              <w:t>/</w:t>
            </w:r>
            <w:r w:rsidR="008610CD">
              <w:t>es</w:t>
            </w:r>
            <w:r w:rsidR="00E47266">
              <w:t xml:space="preserve">: </w:t>
            </w:r>
            <w:r w:rsidR="00B93D6F">
              <w:t>María del Carmen Higueras Herrador</w:t>
            </w:r>
          </w:p>
        </w:tc>
      </w:tr>
      <w:tr w:rsidR="00200960" w:rsidTr="00F56513">
        <w:tc>
          <w:tcPr>
            <w:tcW w:w="1341" w:type="dxa"/>
            <w:shd w:val="clear" w:color="auto" w:fill="D9D9D9" w:themeFill="background1" w:themeFillShade="D9"/>
            <w:vAlign w:val="center"/>
          </w:tcPr>
          <w:p w:rsidR="00200960" w:rsidRPr="00833C7D" w:rsidRDefault="00200960" w:rsidP="00043AD8">
            <w:pPr>
              <w:rPr>
                <w:b/>
              </w:rPr>
            </w:pPr>
            <w:r>
              <w:rPr>
                <w:b/>
              </w:rPr>
              <w:t>UNIDAD</w:t>
            </w:r>
            <w:r w:rsidR="00520E88">
              <w:rPr>
                <w:b/>
              </w:rPr>
              <w:t>/</w:t>
            </w:r>
            <w:r>
              <w:rPr>
                <w:b/>
              </w:rPr>
              <w:t>ES:</w:t>
            </w:r>
          </w:p>
        </w:tc>
        <w:tc>
          <w:tcPr>
            <w:tcW w:w="4169" w:type="dxa"/>
            <w:gridSpan w:val="5"/>
          </w:tcPr>
          <w:p w:rsidR="00200960" w:rsidRPr="009548DA" w:rsidRDefault="00B93D6F" w:rsidP="00B93D6F">
            <w:pPr>
              <w:pStyle w:val="Prrafodelista"/>
              <w:numPr>
                <w:ilvl w:val="0"/>
                <w:numId w:val="1"/>
              </w:numPr>
            </w:pPr>
            <w:r w:rsidRPr="00B93D6F">
              <w:t>Unidad de Técnicos de Laboratorio de Apoyo a Departamentos, Institutos y Centros de Investigación</w:t>
            </w:r>
          </w:p>
        </w:tc>
        <w:tc>
          <w:tcPr>
            <w:tcW w:w="1523" w:type="dxa"/>
            <w:gridSpan w:val="2"/>
            <w:shd w:val="clear" w:color="auto" w:fill="D9D9D9" w:themeFill="background1" w:themeFillShade="D9"/>
            <w:vAlign w:val="center"/>
          </w:tcPr>
          <w:p w:rsidR="00200960" w:rsidRPr="00200960" w:rsidRDefault="00200960" w:rsidP="00200960">
            <w:pPr>
              <w:rPr>
                <w:b/>
              </w:rPr>
            </w:pPr>
            <w:r w:rsidRPr="00200960">
              <w:rPr>
                <w:b/>
              </w:rPr>
              <w:t>RESPONSABLE</w:t>
            </w:r>
          </w:p>
        </w:tc>
        <w:tc>
          <w:tcPr>
            <w:tcW w:w="3541" w:type="dxa"/>
          </w:tcPr>
          <w:p w:rsidR="004B1026" w:rsidRPr="009548DA" w:rsidRDefault="00B93D6F" w:rsidP="0005285A">
            <w:pPr>
              <w:pStyle w:val="Prrafodelista"/>
              <w:numPr>
                <w:ilvl w:val="0"/>
                <w:numId w:val="1"/>
              </w:numPr>
            </w:pPr>
            <w:r>
              <w:t>Marina Gómez Torres</w:t>
            </w:r>
            <w:r w:rsidR="0005285A">
              <w:t xml:space="preserve">, </w:t>
            </w:r>
            <w:bookmarkStart w:id="0" w:name="_GoBack"/>
            <w:r w:rsidR="0005285A">
              <w:t xml:space="preserve">Coordinadora de calidad  de la </w:t>
            </w:r>
            <w:r w:rsidR="0005285A" w:rsidRPr="0005285A">
              <w:t>Unidad de Técnicos de Laboratorio de Apoyo a Departamentos, Institutos y Centros de Investigación</w:t>
            </w:r>
            <w:bookmarkEnd w:id="0"/>
          </w:p>
        </w:tc>
      </w:tr>
      <w:tr w:rsidR="00F56513" w:rsidTr="00F56513">
        <w:tc>
          <w:tcPr>
            <w:tcW w:w="6713" w:type="dxa"/>
            <w:gridSpan w:val="7"/>
            <w:shd w:val="clear" w:color="auto" w:fill="D9D9D9" w:themeFill="background1" w:themeFillShade="D9"/>
            <w:vAlign w:val="center"/>
          </w:tcPr>
          <w:p w:rsidR="00F56513" w:rsidRPr="00F56513" w:rsidRDefault="001F580C" w:rsidP="00F56513">
            <w:pPr>
              <w:jc w:val="center"/>
              <w:rPr>
                <w:rFonts w:ascii="Calibri" w:eastAsia="Calibri" w:hAnsi="Calibri"/>
              </w:rPr>
            </w:pPr>
            <w:r>
              <w:rPr>
                <w:b/>
              </w:rPr>
              <w:t>OBJETIVOS DE AUDITORÍA</w:t>
            </w:r>
          </w:p>
        </w:tc>
        <w:tc>
          <w:tcPr>
            <w:tcW w:w="3861" w:type="dxa"/>
            <w:gridSpan w:val="2"/>
            <w:shd w:val="clear" w:color="auto" w:fill="D9D9D9" w:themeFill="background1" w:themeFillShade="D9"/>
          </w:tcPr>
          <w:p w:rsidR="00F56513" w:rsidRPr="001F580C" w:rsidRDefault="001F580C" w:rsidP="00F56513">
            <w:pPr>
              <w:jc w:val="center"/>
              <w:rPr>
                <w:rFonts w:ascii="Calibri" w:eastAsia="Calibri" w:hAnsi="Calibri"/>
                <w:b/>
              </w:rPr>
            </w:pPr>
            <w:r w:rsidRPr="001F580C">
              <w:rPr>
                <w:rFonts w:ascii="Calibri" w:eastAsia="Calibri" w:hAnsi="Calibri"/>
                <w:b/>
              </w:rPr>
              <w:t>ALCANCE</w:t>
            </w:r>
          </w:p>
        </w:tc>
      </w:tr>
      <w:tr w:rsidR="00B32B25" w:rsidTr="000B5624">
        <w:tc>
          <w:tcPr>
            <w:tcW w:w="3206" w:type="dxa"/>
            <w:gridSpan w:val="2"/>
            <w:shd w:val="clear" w:color="auto" w:fill="D9D9D9" w:themeFill="background1" w:themeFillShade="D9"/>
            <w:vAlign w:val="center"/>
          </w:tcPr>
          <w:p w:rsidR="00B32B25" w:rsidRDefault="00B32B25" w:rsidP="000B5624">
            <w:pPr>
              <w:rPr>
                <w:b/>
              </w:rPr>
            </w:pPr>
            <w:r>
              <w:rPr>
                <w:b/>
              </w:rPr>
              <w:t>1.- INDICADORES</w:t>
            </w:r>
          </w:p>
          <w:p w:rsidR="00B32B25" w:rsidRDefault="00B32B25" w:rsidP="000B5624">
            <w:pPr>
              <w:rPr>
                <w:b/>
              </w:rPr>
            </w:pPr>
          </w:p>
        </w:tc>
        <w:tc>
          <w:tcPr>
            <w:tcW w:w="7368" w:type="dxa"/>
            <w:gridSpan w:val="7"/>
            <w:shd w:val="clear" w:color="auto" w:fill="FFFFFF" w:themeFill="background1"/>
          </w:tcPr>
          <w:p w:rsidR="00B32B25" w:rsidRPr="00A07471" w:rsidRDefault="00B32B25" w:rsidP="000B5624">
            <w:r w:rsidRPr="00F56513">
              <w:rPr>
                <w:rFonts w:ascii="Calibri" w:eastAsia="Calibri" w:hAnsi="Calibri"/>
              </w:rPr>
              <w:t>Verificación de las mediciones periódicas de los indicadores de procesos que proceda según la fecha de auditoría, así como la eficacia de las mismas en relación, en su caso, con los objetivos establecidos.</w:t>
            </w:r>
          </w:p>
        </w:tc>
      </w:tr>
      <w:tr w:rsidR="00B32B25" w:rsidTr="000B5624">
        <w:tc>
          <w:tcPr>
            <w:tcW w:w="3206" w:type="dxa"/>
            <w:gridSpan w:val="2"/>
            <w:shd w:val="clear" w:color="auto" w:fill="D9D9D9" w:themeFill="background1" w:themeFillShade="D9"/>
            <w:vAlign w:val="center"/>
          </w:tcPr>
          <w:p w:rsidR="00B32B25" w:rsidRDefault="00B32B25" w:rsidP="000B5624">
            <w:pPr>
              <w:rPr>
                <w:b/>
              </w:rPr>
            </w:pPr>
            <w:r>
              <w:rPr>
                <w:b/>
              </w:rPr>
              <w:t xml:space="preserve">2.- </w:t>
            </w:r>
            <w:r w:rsidRPr="0013372C">
              <w:rPr>
                <w:b/>
              </w:rPr>
              <w:t xml:space="preserve">QUEJAS Y </w:t>
            </w:r>
            <w:r>
              <w:rPr>
                <w:b/>
              </w:rPr>
              <w:t>SUGERENCIAS</w:t>
            </w:r>
          </w:p>
        </w:tc>
        <w:tc>
          <w:tcPr>
            <w:tcW w:w="7368" w:type="dxa"/>
            <w:gridSpan w:val="7"/>
            <w:shd w:val="clear" w:color="auto" w:fill="FFFFFF" w:themeFill="background1"/>
          </w:tcPr>
          <w:p w:rsidR="00B32B25" w:rsidRPr="00A07471" w:rsidRDefault="00B32B25" w:rsidP="000B5624">
            <w:r w:rsidRPr="00F56513">
              <w:rPr>
                <w:rFonts w:ascii="Calibri" w:eastAsia="Calibri" w:hAnsi="Calibri"/>
              </w:rPr>
              <w:t>Verificación de la gestión de quejas y sugerencias, en su caso realización de acciones de mejora.</w:t>
            </w:r>
          </w:p>
        </w:tc>
      </w:tr>
      <w:tr w:rsidR="00B32B25" w:rsidTr="000B5624">
        <w:tc>
          <w:tcPr>
            <w:tcW w:w="3206" w:type="dxa"/>
            <w:gridSpan w:val="2"/>
            <w:shd w:val="clear" w:color="auto" w:fill="D9D9D9" w:themeFill="background1" w:themeFillShade="D9"/>
            <w:vAlign w:val="center"/>
          </w:tcPr>
          <w:p w:rsidR="00B32B25" w:rsidRPr="0019633D" w:rsidRDefault="00B32B25" w:rsidP="000B5624">
            <w:pPr>
              <w:rPr>
                <w:b/>
              </w:rPr>
            </w:pPr>
            <w:r w:rsidRPr="0019633D">
              <w:rPr>
                <w:b/>
              </w:rPr>
              <w:t>3.- COMPROMISOS DE CALIDAD INCUMPLIDOS</w:t>
            </w:r>
          </w:p>
        </w:tc>
        <w:tc>
          <w:tcPr>
            <w:tcW w:w="7368" w:type="dxa"/>
            <w:gridSpan w:val="7"/>
            <w:shd w:val="clear" w:color="auto" w:fill="FFFFFF" w:themeFill="background1"/>
          </w:tcPr>
          <w:p w:rsidR="00B32B25" w:rsidRPr="00A07471" w:rsidRDefault="00B32B25" w:rsidP="000B5624">
            <w:r w:rsidRPr="00F56513">
              <w:rPr>
                <w:rFonts w:ascii="Calibri" w:eastAsia="Calibri" w:hAnsi="Calibri"/>
              </w:rPr>
              <w:t>Seguimiento de las mejoras desplegadas sobre los compromisos de calidad incumplidos en la medición del anterior ciclo de gestión.</w:t>
            </w:r>
            <w:r>
              <w:rPr>
                <w:sz w:val="20"/>
                <w:szCs w:val="20"/>
              </w:rPr>
              <w:t xml:space="preserve"> </w:t>
            </w:r>
          </w:p>
        </w:tc>
      </w:tr>
      <w:tr w:rsidR="00B32B25" w:rsidTr="000B5624">
        <w:tc>
          <w:tcPr>
            <w:tcW w:w="3206" w:type="dxa"/>
            <w:gridSpan w:val="2"/>
            <w:shd w:val="clear" w:color="auto" w:fill="D9D9D9" w:themeFill="background1" w:themeFillShade="D9"/>
            <w:vAlign w:val="center"/>
          </w:tcPr>
          <w:p w:rsidR="00B32B25" w:rsidRPr="0013372C" w:rsidRDefault="00B32B25" w:rsidP="000B5624">
            <w:pPr>
              <w:rPr>
                <w:b/>
              </w:rPr>
            </w:pPr>
            <w:r>
              <w:rPr>
                <w:b/>
              </w:rPr>
              <w:t>4.- INSTRUCCIONES TÉCNICAS</w:t>
            </w:r>
          </w:p>
        </w:tc>
        <w:tc>
          <w:tcPr>
            <w:tcW w:w="7368" w:type="dxa"/>
            <w:gridSpan w:val="7"/>
            <w:shd w:val="clear" w:color="auto" w:fill="FFFFFF" w:themeFill="background1"/>
          </w:tcPr>
          <w:p w:rsidR="00B32B25" w:rsidRPr="00A07471" w:rsidRDefault="00B32B25" w:rsidP="000B5624">
            <w:r w:rsidRPr="00F56513">
              <w:rPr>
                <w:rFonts w:ascii="Calibri" w:eastAsia="Calibri" w:hAnsi="Calibri"/>
              </w:rPr>
              <w:t>Verificación de la conformidad de la gestión de los procesos a las Instrucciones Técnicas aplicadas según la documentación de los procesos.</w:t>
            </w:r>
            <w:r>
              <w:rPr>
                <w:sz w:val="20"/>
                <w:szCs w:val="20"/>
              </w:rPr>
              <w:t xml:space="preserve"> </w:t>
            </w:r>
          </w:p>
        </w:tc>
      </w:tr>
      <w:tr w:rsidR="00B32B25" w:rsidTr="000B5624">
        <w:tc>
          <w:tcPr>
            <w:tcW w:w="3206" w:type="dxa"/>
            <w:gridSpan w:val="2"/>
            <w:shd w:val="clear" w:color="auto" w:fill="D9D9D9" w:themeFill="background1" w:themeFillShade="D9"/>
            <w:vAlign w:val="center"/>
          </w:tcPr>
          <w:p w:rsidR="00B32B25" w:rsidRDefault="00B32B25" w:rsidP="000B5624">
            <w:pPr>
              <w:rPr>
                <w:b/>
              </w:rPr>
            </w:pPr>
            <w:r>
              <w:rPr>
                <w:b/>
              </w:rPr>
              <w:t xml:space="preserve">5.- FORMATOS </w:t>
            </w:r>
          </w:p>
          <w:p w:rsidR="00B32B25" w:rsidRPr="0013372C" w:rsidRDefault="00B32B25" w:rsidP="000B5624">
            <w:pPr>
              <w:rPr>
                <w:b/>
              </w:rPr>
            </w:pPr>
          </w:p>
        </w:tc>
        <w:tc>
          <w:tcPr>
            <w:tcW w:w="7368" w:type="dxa"/>
            <w:gridSpan w:val="7"/>
            <w:shd w:val="clear" w:color="auto" w:fill="FFFFFF" w:themeFill="background1"/>
          </w:tcPr>
          <w:p w:rsidR="00B32B25" w:rsidRPr="00F56513" w:rsidRDefault="00B32B25" w:rsidP="000B5624">
            <w:pPr>
              <w:rPr>
                <w:rFonts w:ascii="Calibri" w:eastAsia="Calibri" w:hAnsi="Calibri"/>
              </w:rPr>
            </w:pPr>
            <w:r w:rsidRPr="001F580C">
              <w:rPr>
                <w:rFonts w:ascii="Calibri" w:eastAsia="Calibri" w:hAnsi="Calibri"/>
              </w:rPr>
              <w:t xml:space="preserve">Verificación de la conformidad de la gestión de los procesos a los Formatos aplicados según la documentación de los procesos. </w:t>
            </w:r>
          </w:p>
        </w:tc>
      </w:tr>
      <w:tr w:rsidR="00B32B25" w:rsidTr="000B5624">
        <w:tc>
          <w:tcPr>
            <w:tcW w:w="3206" w:type="dxa"/>
            <w:gridSpan w:val="2"/>
            <w:shd w:val="clear" w:color="auto" w:fill="D9D9D9" w:themeFill="background1" w:themeFillShade="D9"/>
            <w:vAlign w:val="center"/>
          </w:tcPr>
          <w:p w:rsidR="00B32B25" w:rsidRDefault="00B32B25" w:rsidP="000B5624">
            <w:pPr>
              <w:rPr>
                <w:b/>
              </w:rPr>
            </w:pPr>
            <w:r>
              <w:rPr>
                <w:b/>
              </w:rPr>
              <w:t xml:space="preserve">6.- ENCUESTAS </w:t>
            </w:r>
          </w:p>
          <w:p w:rsidR="00B32B25" w:rsidRPr="0013372C" w:rsidRDefault="00B32B25" w:rsidP="000B5624">
            <w:pPr>
              <w:rPr>
                <w:b/>
              </w:rPr>
            </w:pPr>
          </w:p>
        </w:tc>
        <w:tc>
          <w:tcPr>
            <w:tcW w:w="7368" w:type="dxa"/>
            <w:gridSpan w:val="7"/>
            <w:shd w:val="clear" w:color="auto" w:fill="FFFFFF" w:themeFill="background1"/>
          </w:tcPr>
          <w:p w:rsidR="00B32B25" w:rsidRPr="001F580C" w:rsidRDefault="00B32B25" w:rsidP="000B5624">
            <w:pPr>
              <w:rPr>
                <w:rFonts w:ascii="Calibri" w:eastAsia="Calibri" w:hAnsi="Calibri"/>
              </w:rPr>
            </w:pPr>
            <w:r w:rsidRPr="0052070A">
              <w:rPr>
                <w:rFonts w:ascii="Calibri" w:eastAsia="Calibri" w:hAnsi="Calibri"/>
              </w:rPr>
              <w:t>Verificación de la realización de las encuestas correspondientes a los grupos de interés del proceso, así como, a fecha de auditoría, del seguimiento de los índices de participación y resultados obtenidos; en su caso, realización de acciones de mejora necesarias.</w:t>
            </w:r>
          </w:p>
        </w:tc>
      </w:tr>
    </w:tbl>
    <w:p w:rsidR="00B32B25" w:rsidRDefault="00B32B25" w:rsidP="00B32B25"/>
    <w:p w:rsidR="00B32B25" w:rsidRDefault="00B32B25" w:rsidP="00B82FC0">
      <w:pPr>
        <w:spacing w:line="240" w:lineRule="auto"/>
        <w:rPr>
          <w:b/>
        </w:rPr>
      </w:pPr>
    </w:p>
    <w:p w:rsidR="00B32B25" w:rsidRDefault="00B32B25" w:rsidP="00B82FC0">
      <w:pPr>
        <w:spacing w:line="240" w:lineRule="auto"/>
        <w:rPr>
          <w:b/>
        </w:rPr>
      </w:pPr>
    </w:p>
    <w:tbl>
      <w:tblPr>
        <w:tblStyle w:val="Tablaconcuadrcula"/>
        <w:tblW w:w="0" w:type="auto"/>
        <w:tblLook w:val="04A0" w:firstRow="1" w:lastRow="0" w:firstColumn="1" w:lastColumn="0" w:noHBand="0" w:noVBand="1"/>
      </w:tblPr>
      <w:tblGrid>
        <w:gridCol w:w="10606"/>
      </w:tblGrid>
      <w:tr w:rsidR="00A97A39" w:rsidTr="00C43563">
        <w:tc>
          <w:tcPr>
            <w:tcW w:w="10606" w:type="dxa"/>
          </w:tcPr>
          <w:p w:rsidR="00A97A39" w:rsidRDefault="00A97A39" w:rsidP="00C43563">
            <w:pPr>
              <w:rPr>
                <w:b/>
              </w:rPr>
            </w:pPr>
            <w:r>
              <w:rPr>
                <w:b/>
              </w:rPr>
              <w:t>Relación de personas entrevistadas en la visita de auditoría:</w:t>
            </w:r>
          </w:p>
        </w:tc>
      </w:tr>
      <w:tr w:rsidR="00A97A39" w:rsidTr="00C43563">
        <w:tc>
          <w:tcPr>
            <w:tcW w:w="10606" w:type="dxa"/>
          </w:tcPr>
          <w:p w:rsidR="00A97A39" w:rsidRDefault="00A97A39" w:rsidP="00C43563">
            <w:pPr>
              <w:rPr>
                <w:b/>
              </w:rPr>
            </w:pPr>
          </w:p>
          <w:p w:rsidR="00A97A39" w:rsidRDefault="00944C0E" w:rsidP="00C43563">
            <w:pPr>
              <w:rPr>
                <w:b/>
              </w:rPr>
            </w:pPr>
            <w:r>
              <w:rPr>
                <w:b/>
              </w:rPr>
              <w:t xml:space="preserve">Marina </w:t>
            </w:r>
            <w:r w:rsidR="00FC3412">
              <w:rPr>
                <w:b/>
              </w:rPr>
              <w:t>Gómez Torres</w:t>
            </w:r>
          </w:p>
          <w:p w:rsidR="00A97A39" w:rsidRDefault="00FC3412" w:rsidP="00C43563">
            <w:pPr>
              <w:rPr>
                <w:b/>
              </w:rPr>
            </w:pPr>
            <w:r>
              <w:rPr>
                <w:b/>
              </w:rPr>
              <w:t>Francisco Hermoso Torres</w:t>
            </w:r>
          </w:p>
          <w:p w:rsidR="00A97A39" w:rsidRDefault="00A97A39" w:rsidP="00C43563">
            <w:pPr>
              <w:rPr>
                <w:b/>
              </w:rPr>
            </w:pPr>
          </w:p>
        </w:tc>
      </w:tr>
    </w:tbl>
    <w:p w:rsidR="008E4901" w:rsidRDefault="008E4901">
      <w:pPr>
        <w:spacing w:after="200"/>
        <w:rPr>
          <w:b/>
        </w:rPr>
      </w:pPr>
    </w:p>
    <w:p w:rsidR="0033635C" w:rsidRDefault="0033635C">
      <w:pPr>
        <w:spacing w:after="200"/>
        <w:rPr>
          <w:b/>
        </w:rPr>
      </w:pPr>
      <w:r>
        <w:rPr>
          <w:b/>
        </w:rPr>
        <w:br w:type="page"/>
      </w:r>
    </w:p>
    <w:p w:rsidR="005C5306" w:rsidRDefault="00B47ED3" w:rsidP="00B82FC0">
      <w:pPr>
        <w:spacing w:line="240" w:lineRule="auto"/>
        <w:rPr>
          <w:b/>
        </w:rPr>
      </w:pPr>
      <w:r>
        <w:rPr>
          <w:b/>
        </w:rPr>
        <w:lastRenderedPageBreak/>
        <w:t xml:space="preserve">1.- </w:t>
      </w:r>
      <w:r w:rsidR="00B82FC0" w:rsidRPr="00A26FF7">
        <w:rPr>
          <w:b/>
        </w:rPr>
        <w:t>INDICADORES</w:t>
      </w:r>
      <w:r w:rsidR="0039526F">
        <w:rPr>
          <w:b/>
        </w:rPr>
        <w:t xml:space="preserve"> (Observar Anexo de Histórico de Indicadores) </w:t>
      </w:r>
    </w:p>
    <w:p w:rsidR="0051137D" w:rsidRDefault="0051137D"/>
    <w:tbl>
      <w:tblPr>
        <w:tblStyle w:val="Tablaconcuadrcula"/>
        <w:tblW w:w="10740" w:type="dxa"/>
        <w:tblLayout w:type="fixed"/>
        <w:tblLook w:val="04A0" w:firstRow="1" w:lastRow="0" w:firstColumn="1" w:lastColumn="0" w:noHBand="0" w:noVBand="1"/>
      </w:tblPr>
      <w:tblGrid>
        <w:gridCol w:w="2518"/>
        <w:gridCol w:w="1134"/>
        <w:gridCol w:w="992"/>
        <w:gridCol w:w="426"/>
        <w:gridCol w:w="567"/>
        <w:gridCol w:w="2409"/>
        <w:gridCol w:w="2694"/>
      </w:tblGrid>
      <w:tr w:rsidR="00175ED7" w:rsidTr="00BA6ADA">
        <w:trPr>
          <w:trHeight w:val="318"/>
        </w:trPr>
        <w:tc>
          <w:tcPr>
            <w:tcW w:w="2518" w:type="dxa"/>
            <w:vMerge w:val="restart"/>
            <w:shd w:val="clear" w:color="auto" w:fill="D9D9D9" w:themeFill="background1" w:themeFillShade="D9"/>
            <w:vAlign w:val="center"/>
          </w:tcPr>
          <w:p w:rsidR="00175ED7" w:rsidRPr="00847DD5" w:rsidRDefault="00175ED7" w:rsidP="0073232D">
            <w:pPr>
              <w:rPr>
                <w:b/>
                <w:sz w:val="20"/>
                <w:szCs w:val="20"/>
              </w:rPr>
            </w:pPr>
            <w:r w:rsidRPr="00847DD5">
              <w:rPr>
                <w:b/>
                <w:sz w:val="20"/>
                <w:szCs w:val="20"/>
              </w:rPr>
              <w:t>Indicador</w:t>
            </w:r>
          </w:p>
        </w:tc>
        <w:tc>
          <w:tcPr>
            <w:tcW w:w="1134" w:type="dxa"/>
            <w:vMerge w:val="restart"/>
            <w:vAlign w:val="center"/>
          </w:tcPr>
          <w:p w:rsidR="00175ED7" w:rsidRPr="00204D21" w:rsidRDefault="00175ED7" w:rsidP="00734087">
            <w:pPr>
              <w:jc w:val="center"/>
              <w:rPr>
                <w:sz w:val="18"/>
                <w:szCs w:val="18"/>
              </w:rPr>
            </w:pPr>
            <w:r w:rsidRPr="00204D21">
              <w:rPr>
                <w:sz w:val="18"/>
                <w:szCs w:val="18"/>
              </w:rPr>
              <w:t>Objetivo</w:t>
            </w:r>
          </w:p>
        </w:tc>
        <w:tc>
          <w:tcPr>
            <w:tcW w:w="992" w:type="dxa"/>
            <w:vMerge w:val="restart"/>
            <w:vAlign w:val="center"/>
          </w:tcPr>
          <w:p w:rsidR="00175ED7" w:rsidRPr="00204D21" w:rsidRDefault="00175ED7" w:rsidP="00734087">
            <w:pPr>
              <w:jc w:val="center"/>
              <w:rPr>
                <w:sz w:val="18"/>
                <w:szCs w:val="18"/>
              </w:rPr>
            </w:pPr>
            <w:r w:rsidRPr="00204D21">
              <w:rPr>
                <w:sz w:val="18"/>
                <w:szCs w:val="18"/>
              </w:rPr>
              <w:t>Periodicidad de medición</w:t>
            </w:r>
          </w:p>
        </w:tc>
        <w:tc>
          <w:tcPr>
            <w:tcW w:w="993" w:type="dxa"/>
            <w:gridSpan w:val="2"/>
            <w:vAlign w:val="center"/>
          </w:tcPr>
          <w:p w:rsidR="00175ED7" w:rsidRPr="00204D21" w:rsidRDefault="00175ED7" w:rsidP="00847DD5">
            <w:pPr>
              <w:jc w:val="center"/>
              <w:rPr>
                <w:sz w:val="18"/>
                <w:szCs w:val="18"/>
              </w:rPr>
            </w:pPr>
            <w:r w:rsidRPr="00204D21">
              <w:rPr>
                <w:sz w:val="18"/>
                <w:szCs w:val="18"/>
              </w:rPr>
              <w:t>Cumpli</w:t>
            </w:r>
            <w:r>
              <w:rPr>
                <w:sz w:val="18"/>
                <w:szCs w:val="18"/>
              </w:rPr>
              <w:t>do</w:t>
            </w:r>
          </w:p>
        </w:tc>
        <w:tc>
          <w:tcPr>
            <w:tcW w:w="2409" w:type="dxa"/>
            <w:vMerge w:val="restart"/>
            <w:vAlign w:val="center"/>
          </w:tcPr>
          <w:p w:rsidR="00175ED7" w:rsidRDefault="00175ED7" w:rsidP="00536A47">
            <w:pPr>
              <w:jc w:val="center"/>
              <w:rPr>
                <w:sz w:val="18"/>
                <w:szCs w:val="18"/>
              </w:rPr>
            </w:pPr>
            <w:r>
              <w:rPr>
                <w:sz w:val="18"/>
                <w:szCs w:val="18"/>
              </w:rPr>
              <w:t xml:space="preserve">Observaciones </w:t>
            </w:r>
          </w:p>
          <w:p w:rsidR="00175ED7" w:rsidRPr="00204D21" w:rsidRDefault="00175ED7" w:rsidP="00657AA2">
            <w:pPr>
              <w:jc w:val="center"/>
              <w:rPr>
                <w:sz w:val="18"/>
                <w:szCs w:val="18"/>
              </w:rPr>
            </w:pPr>
            <w:r>
              <w:rPr>
                <w:sz w:val="18"/>
                <w:szCs w:val="18"/>
              </w:rPr>
              <w:t xml:space="preserve">(no medición, </w:t>
            </w:r>
            <w:r w:rsidR="000E70E2">
              <w:rPr>
                <w:sz w:val="18"/>
                <w:szCs w:val="18"/>
              </w:rPr>
              <w:t xml:space="preserve">en caso de </w:t>
            </w:r>
            <w:r>
              <w:rPr>
                <w:sz w:val="18"/>
                <w:szCs w:val="18"/>
              </w:rPr>
              <w:t>no cumplido previsiones de cumplimiento)</w:t>
            </w:r>
          </w:p>
        </w:tc>
        <w:tc>
          <w:tcPr>
            <w:tcW w:w="2694" w:type="dxa"/>
            <w:vMerge w:val="restart"/>
            <w:vAlign w:val="center"/>
          </w:tcPr>
          <w:p w:rsidR="006F689D" w:rsidRPr="00204D21" w:rsidRDefault="00B266DC" w:rsidP="00B266DC">
            <w:pPr>
              <w:jc w:val="center"/>
              <w:rPr>
                <w:sz w:val="18"/>
                <w:szCs w:val="18"/>
              </w:rPr>
            </w:pPr>
            <w:r>
              <w:rPr>
                <w:sz w:val="18"/>
                <w:szCs w:val="18"/>
              </w:rPr>
              <w:t>Ajuste de los niveles de objetivos a la verdadera capacidad de los procesos,</w:t>
            </w:r>
            <w:r w:rsidR="00175ED7">
              <w:rPr>
                <w:sz w:val="18"/>
                <w:szCs w:val="18"/>
              </w:rPr>
              <w:t xml:space="preserve"> según histórico</w:t>
            </w:r>
            <w:r w:rsidR="008B3E70">
              <w:rPr>
                <w:sz w:val="18"/>
                <w:szCs w:val="18"/>
              </w:rPr>
              <w:t xml:space="preserve"> de resultados</w:t>
            </w:r>
            <w:r w:rsidR="00175ED7">
              <w:rPr>
                <w:sz w:val="18"/>
                <w:szCs w:val="18"/>
              </w:rPr>
              <w:t>.</w:t>
            </w:r>
          </w:p>
        </w:tc>
      </w:tr>
      <w:tr w:rsidR="00175ED7" w:rsidTr="00BA6ADA">
        <w:trPr>
          <w:trHeight w:val="285"/>
        </w:trPr>
        <w:tc>
          <w:tcPr>
            <w:tcW w:w="2518" w:type="dxa"/>
            <w:vMerge/>
            <w:shd w:val="clear" w:color="auto" w:fill="D9D9D9" w:themeFill="background1" w:themeFillShade="D9"/>
            <w:vAlign w:val="center"/>
          </w:tcPr>
          <w:p w:rsidR="00175ED7" w:rsidRPr="00847DD5" w:rsidRDefault="00175ED7" w:rsidP="0073232D">
            <w:pPr>
              <w:rPr>
                <w:b/>
                <w:sz w:val="20"/>
                <w:szCs w:val="20"/>
              </w:rPr>
            </w:pPr>
          </w:p>
        </w:tc>
        <w:tc>
          <w:tcPr>
            <w:tcW w:w="1134" w:type="dxa"/>
            <w:vMerge/>
            <w:vAlign w:val="center"/>
          </w:tcPr>
          <w:p w:rsidR="00175ED7" w:rsidRPr="00204D21" w:rsidRDefault="00175ED7" w:rsidP="00734087">
            <w:pPr>
              <w:jc w:val="center"/>
              <w:rPr>
                <w:sz w:val="18"/>
                <w:szCs w:val="18"/>
              </w:rPr>
            </w:pPr>
          </w:p>
        </w:tc>
        <w:tc>
          <w:tcPr>
            <w:tcW w:w="992" w:type="dxa"/>
            <w:vMerge/>
            <w:vAlign w:val="center"/>
          </w:tcPr>
          <w:p w:rsidR="00175ED7" w:rsidRPr="00204D21" w:rsidRDefault="00175ED7" w:rsidP="00734087">
            <w:pPr>
              <w:jc w:val="center"/>
              <w:rPr>
                <w:sz w:val="18"/>
                <w:szCs w:val="18"/>
              </w:rPr>
            </w:pPr>
          </w:p>
        </w:tc>
        <w:tc>
          <w:tcPr>
            <w:tcW w:w="426" w:type="dxa"/>
            <w:vAlign w:val="center"/>
          </w:tcPr>
          <w:p w:rsidR="00175ED7" w:rsidRPr="00204D21" w:rsidRDefault="00175ED7" w:rsidP="00734087">
            <w:pPr>
              <w:jc w:val="center"/>
              <w:rPr>
                <w:sz w:val="18"/>
                <w:szCs w:val="18"/>
              </w:rPr>
            </w:pPr>
            <w:r>
              <w:rPr>
                <w:sz w:val="18"/>
                <w:szCs w:val="18"/>
              </w:rPr>
              <w:t>Si</w:t>
            </w:r>
          </w:p>
        </w:tc>
        <w:tc>
          <w:tcPr>
            <w:tcW w:w="567" w:type="dxa"/>
            <w:vAlign w:val="center"/>
          </w:tcPr>
          <w:p w:rsidR="00175ED7" w:rsidRPr="00204D21" w:rsidRDefault="00175ED7" w:rsidP="00734087">
            <w:pPr>
              <w:jc w:val="center"/>
              <w:rPr>
                <w:sz w:val="18"/>
                <w:szCs w:val="18"/>
              </w:rPr>
            </w:pPr>
            <w:r w:rsidRPr="00204D21">
              <w:rPr>
                <w:sz w:val="18"/>
                <w:szCs w:val="18"/>
              </w:rPr>
              <w:t>No</w:t>
            </w:r>
          </w:p>
        </w:tc>
        <w:tc>
          <w:tcPr>
            <w:tcW w:w="2409" w:type="dxa"/>
            <w:vMerge/>
            <w:vAlign w:val="center"/>
          </w:tcPr>
          <w:p w:rsidR="00175ED7" w:rsidRPr="00204D21" w:rsidRDefault="00175ED7" w:rsidP="00536A47">
            <w:pPr>
              <w:jc w:val="center"/>
              <w:rPr>
                <w:sz w:val="18"/>
                <w:szCs w:val="18"/>
              </w:rPr>
            </w:pPr>
          </w:p>
        </w:tc>
        <w:tc>
          <w:tcPr>
            <w:tcW w:w="2694" w:type="dxa"/>
            <w:vMerge/>
            <w:vAlign w:val="center"/>
          </w:tcPr>
          <w:p w:rsidR="00175ED7" w:rsidRPr="00204D21" w:rsidRDefault="00175ED7" w:rsidP="00536A47">
            <w:pPr>
              <w:jc w:val="center"/>
              <w:rPr>
                <w:sz w:val="18"/>
                <w:szCs w:val="18"/>
              </w:rPr>
            </w:pPr>
          </w:p>
        </w:tc>
      </w:tr>
      <w:tr w:rsidR="00175ED7" w:rsidRPr="00AA19EC" w:rsidTr="0033635C">
        <w:tc>
          <w:tcPr>
            <w:tcW w:w="2518" w:type="dxa"/>
            <w:shd w:val="clear" w:color="auto" w:fill="D9D9D9" w:themeFill="background1" w:themeFillShade="D9"/>
          </w:tcPr>
          <w:p w:rsidR="00175ED7" w:rsidRPr="00AA19EC" w:rsidRDefault="00890D40" w:rsidP="00181361">
            <w:pPr>
              <w:rPr>
                <w:sz w:val="18"/>
                <w:szCs w:val="18"/>
              </w:rPr>
            </w:pPr>
            <w:proofErr w:type="gramStart"/>
            <w:r w:rsidRPr="00890D40">
              <w:rPr>
                <w:sz w:val="18"/>
                <w:szCs w:val="18"/>
              </w:rPr>
              <w:t>I.[</w:t>
            </w:r>
            <w:proofErr w:type="gramEnd"/>
            <w:r w:rsidRPr="00890D40">
              <w:rPr>
                <w:sz w:val="18"/>
                <w:szCs w:val="18"/>
              </w:rPr>
              <w:t>PC 08.2]-05</w:t>
            </w:r>
            <w:r w:rsidRPr="00890D40">
              <w:rPr>
                <w:sz w:val="18"/>
                <w:szCs w:val="18"/>
              </w:rPr>
              <w:tab/>
              <w:t>Porcentaje de solicitudes de Apoyo Científico-Técnico cerradas con resolución Técnica de consulta en un plazo no superior a 7 días laborables desde la solicitud.</w:t>
            </w:r>
          </w:p>
        </w:tc>
        <w:tc>
          <w:tcPr>
            <w:tcW w:w="1134" w:type="dxa"/>
            <w:vAlign w:val="center"/>
          </w:tcPr>
          <w:p w:rsidR="00175ED7" w:rsidRPr="00AA19EC" w:rsidRDefault="00890D40" w:rsidP="00F44CD2">
            <w:pPr>
              <w:jc w:val="center"/>
              <w:rPr>
                <w:sz w:val="18"/>
                <w:szCs w:val="18"/>
              </w:rPr>
            </w:pPr>
            <w:r w:rsidRPr="00890D40">
              <w:rPr>
                <w:sz w:val="18"/>
                <w:szCs w:val="18"/>
              </w:rPr>
              <w:t>&gt;=95%</w:t>
            </w:r>
          </w:p>
        </w:tc>
        <w:tc>
          <w:tcPr>
            <w:tcW w:w="992" w:type="dxa"/>
            <w:vAlign w:val="center"/>
          </w:tcPr>
          <w:p w:rsidR="00175ED7" w:rsidRPr="00AA19EC" w:rsidRDefault="00890D40" w:rsidP="00106DED">
            <w:pPr>
              <w:jc w:val="center"/>
              <w:rPr>
                <w:sz w:val="18"/>
                <w:szCs w:val="18"/>
              </w:rPr>
            </w:pPr>
            <w:r w:rsidRPr="00890D40">
              <w:rPr>
                <w:sz w:val="18"/>
                <w:szCs w:val="18"/>
              </w:rPr>
              <w:t>Semestral</w:t>
            </w:r>
          </w:p>
        </w:tc>
        <w:tc>
          <w:tcPr>
            <w:tcW w:w="426" w:type="dxa"/>
            <w:shd w:val="clear" w:color="auto" w:fill="92D050"/>
            <w:vAlign w:val="center"/>
          </w:tcPr>
          <w:p w:rsidR="00175ED7" w:rsidRPr="0033635C" w:rsidRDefault="00944C0E" w:rsidP="00106DED">
            <w:pPr>
              <w:jc w:val="center"/>
              <w:rPr>
                <w:b/>
                <w:sz w:val="32"/>
                <w:szCs w:val="18"/>
              </w:rPr>
            </w:pPr>
            <w:r w:rsidRPr="0033635C">
              <w:rPr>
                <w:b/>
                <w:sz w:val="32"/>
                <w:szCs w:val="18"/>
              </w:rPr>
              <w:t>X</w:t>
            </w:r>
          </w:p>
        </w:tc>
        <w:tc>
          <w:tcPr>
            <w:tcW w:w="567" w:type="dxa"/>
          </w:tcPr>
          <w:p w:rsidR="00175ED7" w:rsidRPr="00AA19EC" w:rsidRDefault="00175ED7" w:rsidP="00AA19EC">
            <w:pPr>
              <w:jc w:val="center"/>
              <w:rPr>
                <w:sz w:val="18"/>
                <w:szCs w:val="18"/>
              </w:rPr>
            </w:pPr>
          </w:p>
        </w:tc>
        <w:tc>
          <w:tcPr>
            <w:tcW w:w="2409" w:type="dxa"/>
          </w:tcPr>
          <w:p w:rsidR="00175ED7" w:rsidRPr="00AA19EC" w:rsidRDefault="00175ED7" w:rsidP="00AA19EC">
            <w:pPr>
              <w:jc w:val="center"/>
              <w:rPr>
                <w:sz w:val="18"/>
                <w:szCs w:val="18"/>
              </w:rPr>
            </w:pPr>
          </w:p>
        </w:tc>
        <w:tc>
          <w:tcPr>
            <w:tcW w:w="2694" w:type="dxa"/>
          </w:tcPr>
          <w:p w:rsidR="00175ED7" w:rsidRPr="00AA19EC" w:rsidRDefault="00175ED7" w:rsidP="00AA19EC">
            <w:pPr>
              <w:jc w:val="center"/>
              <w:rPr>
                <w:sz w:val="18"/>
                <w:szCs w:val="18"/>
              </w:rPr>
            </w:pPr>
          </w:p>
        </w:tc>
      </w:tr>
      <w:tr w:rsidR="00175ED7" w:rsidRPr="00AA19EC" w:rsidTr="0033635C">
        <w:tc>
          <w:tcPr>
            <w:tcW w:w="2518" w:type="dxa"/>
            <w:shd w:val="clear" w:color="auto" w:fill="D9D9D9" w:themeFill="background1" w:themeFillShade="D9"/>
          </w:tcPr>
          <w:p w:rsidR="00175ED7" w:rsidRPr="00AA19EC" w:rsidRDefault="00890D40" w:rsidP="0072099D">
            <w:pPr>
              <w:rPr>
                <w:sz w:val="18"/>
                <w:szCs w:val="18"/>
              </w:rPr>
            </w:pPr>
            <w:proofErr w:type="gramStart"/>
            <w:r w:rsidRPr="00890D40">
              <w:rPr>
                <w:sz w:val="18"/>
                <w:szCs w:val="18"/>
              </w:rPr>
              <w:t>I.[</w:t>
            </w:r>
            <w:proofErr w:type="gramEnd"/>
            <w:r w:rsidRPr="00890D40">
              <w:rPr>
                <w:sz w:val="18"/>
                <w:szCs w:val="18"/>
              </w:rPr>
              <w:t>PC 08.2]-06.1</w:t>
            </w:r>
            <w:r w:rsidRPr="00890D40">
              <w:rPr>
                <w:sz w:val="18"/>
                <w:szCs w:val="18"/>
              </w:rPr>
              <w:tab/>
              <w:t>Porcentaje de asistencias técnicas finalizadas desde su tramitación, en los siguientes plazos: 2 días hábiles.</w:t>
            </w:r>
          </w:p>
        </w:tc>
        <w:tc>
          <w:tcPr>
            <w:tcW w:w="1134" w:type="dxa"/>
            <w:vAlign w:val="center"/>
          </w:tcPr>
          <w:p w:rsidR="00175ED7" w:rsidRPr="00AA19EC" w:rsidRDefault="00890D40" w:rsidP="00BA6ADA">
            <w:pPr>
              <w:jc w:val="center"/>
              <w:rPr>
                <w:sz w:val="18"/>
                <w:szCs w:val="18"/>
              </w:rPr>
            </w:pPr>
            <w:r w:rsidRPr="00890D40">
              <w:rPr>
                <w:sz w:val="18"/>
                <w:szCs w:val="18"/>
              </w:rPr>
              <w:t>&gt;=35%</w:t>
            </w:r>
          </w:p>
        </w:tc>
        <w:tc>
          <w:tcPr>
            <w:tcW w:w="992" w:type="dxa"/>
            <w:vAlign w:val="center"/>
          </w:tcPr>
          <w:p w:rsidR="00175ED7" w:rsidRPr="00AA19EC" w:rsidRDefault="00890D40" w:rsidP="00106DED">
            <w:pPr>
              <w:jc w:val="center"/>
              <w:rPr>
                <w:sz w:val="18"/>
                <w:szCs w:val="18"/>
              </w:rPr>
            </w:pPr>
            <w:r w:rsidRPr="00890D40">
              <w:rPr>
                <w:sz w:val="18"/>
                <w:szCs w:val="18"/>
              </w:rPr>
              <w:t>Trimestral</w:t>
            </w:r>
          </w:p>
        </w:tc>
        <w:tc>
          <w:tcPr>
            <w:tcW w:w="426" w:type="dxa"/>
            <w:shd w:val="clear" w:color="auto" w:fill="92D050"/>
            <w:vAlign w:val="center"/>
          </w:tcPr>
          <w:p w:rsidR="00175ED7" w:rsidRPr="0033635C" w:rsidRDefault="00944C0E" w:rsidP="00106DED">
            <w:pPr>
              <w:jc w:val="center"/>
              <w:rPr>
                <w:b/>
                <w:sz w:val="32"/>
                <w:szCs w:val="18"/>
              </w:rPr>
            </w:pPr>
            <w:r w:rsidRPr="0033635C">
              <w:rPr>
                <w:b/>
                <w:sz w:val="32"/>
                <w:szCs w:val="18"/>
              </w:rPr>
              <w:t>X</w:t>
            </w:r>
          </w:p>
        </w:tc>
        <w:tc>
          <w:tcPr>
            <w:tcW w:w="567" w:type="dxa"/>
          </w:tcPr>
          <w:p w:rsidR="00175ED7" w:rsidRPr="00AA19EC" w:rsidRDefault="00175ED7" w:rsidP="00AA19EC">
            <w:pPr>
              <w:jc w:val="center"/>
              <w:rPr>
                <w:sz w:val="18"/>
                <w:szCs w:val="18"/>
              </w:rPr>
            </w:pPr>
          </w:p>
        </w:tc>
        <w:tc>
          <w:tcPr>
            <w:tcW w:w="2409" w:type="dxa"/>
          </w:tcPr>
          <w:p w:rsidR="00175ED7" w:rsidRPr="00AA19EC" w:rsidRDefault="00175ED7" w:rsidP="00AA19EC">
            <w:pPr>
              <w:jc w:val="center"/>
              <w:rPr>
                <w:sz w:val="18"/>
                <w:szCs w:val="18"/>
              </w:rPr>
            </w:pPr>
          </w:p>
        </w:tc>
        <w:tc>
          <w:tcPr>
            <w:tcW w:w="2694" w:type="dxa"/>
          </w:tcPr>
          <w:p w:rsidR="00175ED7" w:rsidRPr="00AA19EC" w:rsidRDefault="00175ED7" w:rsidP="00AA19EC">
            <w:pPr>
              <w:jc w:val="center"/>
              <w:rPr>
                <w:sz w:val="18"/>
                <w:szCs w:val="18"/>
              </w:rPr>
            </w:pPr>
          </w:p>
        </w:tc>
      </w:tr>
      <w:tr w:rsidR="008B3E70" w:rsidRPr="00AA19EC" w:rsidTr="0033635C">
        <w:tc>
          <w:tcPr>
            <w:tcW w:w="2518" w:type="dxa"/>
            <w:shd w:val="clear" w:color="auto" w:fill="D9D9D9" w:themeFill="background1" w:themeFillShade="D9"/>
          </w:tcPr>
          <w:p w:rsidR="008B3E70" w:rsidRPr="00AA19EC" w:rsidRDefault="00890D40" w:rsidP="00181361">
            <w:pPr>
              <w:rPr>
                <w:sz w:val="18"/>
                <w:szCs w:val="18"/>
              </w:rPr>
            </w:pPr>
            <w:proofErr w:type="gramStart"/>
            <w:r w:rsidRPr="00890D40">
              <w:rPr>
                <w:sz w:val="18"/>
                <w:szCs w:val="18"/>
              </w:rPr>
              <w:t>I.[</w:t>
            </w:r>
            <w:proofErr w:type="gramEnd"/>
            <w:r w:rsidRPr="00890D40">
              <w:rPr>
                <w:sz w:val="18"/>
                <w:szCs w:val="18"/>
              </w:rPr>
              <w:t>PC 08.2]-06.2</w:t>
            </w:r>
            <w:r w:rsidRPr="00890D40">
              <w:rPr>
                <w:sz w:val="18"/>
                <w:szCs w:val="18"/>
              </w:rPr>
              <w:tab/>
              <w:t>Porcentaje de asistencias técnicas finalizadas desde su tramitación, en los siguientes plazos: 5 días hábiles.</w:t>
            </w:r>
          </w:p>
        </w:tc>
        <w:tc>
          <w:tcPr>
            <w:tcW w:w="1134" w:type="dxa"/>
            <w:vAlign w:val="center"/>
          </w:tcPr>
          <w:p w:rsidR="008B3E70" w:rsidRPr="00AA19EC" w:rsidRDefault="00890D40" w:rsidP="00106DED">
            <w:pPr>
              <w:jc w:val="center"/>
              <w:rPr>
                <w:sz w:val="18"/>
                <w:szCs w:val="18"/>
              </w:rPr>
            </w:pPr>
            <w:r w:rsidRPr="00890D40">
              <w:rPr>
                <w:sz w:val="18"/>
                <w:szCs w:val="18"/>
              </w:rPr>
              <w:t>&gt;=55%</w:t>
            </w:r>
          </w:p>
        </w:tc>
        <w:tc>
          <w:tcPr>
            <w:tcW w:w="992" w:type="dxa"/>
            <w:vAlign w:val="center"/>
          </w:tcPr>
          <w:p w:rsidR="008B3E70" w:rsidRPr="00AA19EC" w:rsidRDefault="00890D40" w:rsidP="00106DED">
            <w:pPr>
              <w:jc w:val="center"/>
              <w:rPr>
                <w:sz w:val="18"/>
                <w:szCs w:val="18"/>
              </w:rPr>
            </w:pPr>
            <w:r w:rsidRPr="00890D40">
              <w:rPr>
                <w:sz w:val="18"/>
                <w:szCs w:val="18"/>
              </w:rPr>
              <w:t>Trimestral</w:t>
            </w:r>
          </w:p>
        </w:tc>
        <w:tc>
          <w:tcPr>
            <w:tcW w:w="426" w:type="dxa"/>
            <w:shd w:val="clear" w:color="auto" w:fill="92D050"/>
            <w:vAlign w:val="center"/>
          </w:tcPr>
          <w:p w:rsidR="008B3E70" w:rsidRPr="0033635C" w:rsidRDefault="00944C0E" w:rsidP="00106DED">
            <w:pPr>
              <w:jc w:val="center"/>
              <w:rPr>
                <w:b/>
                <w:sz w:val="32"/>
                <w:szCs w:val="18"/>
              </w:rPr>
            </w:pPr>
            <w:r w:rsidRPr="0033635C">
              <w:rPr>
                <w:b/>
                <w:sz w:val="32"/>
                <w:szCs w:val="18"/>
              </w:rPr>
              <w:t>X</w:t>
            </w:r>
          </w:p>
        </w:tc>
        <w:tc>
          <w:tcPr>
            <w:tcW w:w="567" w:type="dxa"/>
          </w:tcPr>
          <w:p w:rsidR="008B3E70" w:rsidRPr="00AA19EC" w:rsidRDefault="008B3E70" w:rsidP="00AA19EC">
            <w:pPr>
              <w:jc w:val="center"/>
              <w:rPr>
                <w:sz w:val="18"/>
                <w:szCs w:val="18"/>
              </w:rPr>
            </w:pPr>
          </w:p>
        </w:tc>
        <w:tc>
          <w:tcPr>
            <w:tcW w:w="2409" w:type="dxa"/>
          </w:tcPr>
          <w:p w:rsidR="008B3E70" w:rsidRPr="00AA19EC" w:rsidRDefault="008B3E70" w:rsidP="00AA19EC">
            <w:pPr>
              <w:jc w:val="center"/>
              <w:rPr>
                <w:sz w:val="18"/>
                <w:szCs w:val="18"/>
              </w:rPr>
            </w:pPr>
          </w:p>
        </w:tc>
        <w:tc>
          <w:tcPr>
            <w:tcW w:w="2694" w:type="dxa"/>
          </w:tcPr>
          <w:p w:rsidR="008B3E70" w:rsidRPr="00AA19EC" w:rsidRDefault="008B3E70" w:rsidP="00AA19EC">
            <w:pPr>
              <w:jc w:val="center"/>
              <w:rPr>
                <w:sz w:val="18"/>
                <w:szCs w:val="18"/>
              </w:rPr>
            </w:pPr>
          </w:p>
        </w:tc>
      </w:tr>
      <w:tr w:rsidR="008B3E70" w:rsidRPr="00AA19EC" w:rsidTr="0033635C">
        <w:tc>
          <w:tcPr>
            <w:tcW w:w="2518" w:type="dxa"/>
            <w:shd w:val="clear" w:color="auto" w:fill="D9D9D9" w:themeFill="background1" w:themeFillShade="D9"/>
          </w:tcPr>
          <w:p w:rsidR="008B3E70" w:rsidRPr="00AA19EC" w:rsidRDefault="00890D40" w:rsidP="00181361">
            <w:pPr>
              <w:rPr>
                <w:sz w:val="18"/>
                <w:szCs w:val="18"/>
              </w:rPr>
            </w:pPr>
            <w:proofErr w:type="gramStart"/>
            <w:r w:rsidRPr="00890D40">
              <w:rPr>
                <w:sz w:val="18"/>
                <w:szCs w:val="18"/>
              </w:rPr>
              <w:t>I.[</w:t>
            </w:r>
            <w:proofErr w:type="gramEnd"/>
            <w:r w:rsidRPr="00890D40">
              <w:rPr>
                <w:sz w:val="18"/>
                <w:szCs w:val="18"/>
              </w:rPr>
              <w:t>PC 08.2]-06.3</w:t>
            </w:r>
            <w:r w:rsidRPr="00890D40">
              <w:rPr>
                <w:sz w:val="18"/>
                <w:szCs w:val="18"/>
              </w:rPr>
              <w:tab/>
              <w:t>Porcentaje de asistencias técnicas finalizadas desde su tramitación, en los siguientes plazos: 10 días hábiles.</w:t>
            </w:r>
          </w:p>
        </w:tc>
        <w:tc>
          <w:tcPr>
            <w:tcW w:w="1134" w:type="dxa"/>
            <w:vAlign w:val="center"/>
          </w:tcPr>
          <w:p w:rsidR="008B3E70" w:rsidRPr="00AA19EC" w:rsidRDefault="00890D40" w:rsidP="007F4E3A">
            <w:pPr>
              <w:jc w:val="center"/>
              <w:rPr>
                <w:sz w:val="18"/>
                <w:szCs w:val="18"/>
              </w:rPr>
            </w:pPr>
            <w:r w:rsidRPr="00890D40">
              <w:rPr>
                <w:sz w:val="18"/>
                <w:szCs w:val="18"/>
              </w:rPr>
              <w:t>&gt;=70%</w:t>
            </w:r>
          </w:p>
        </w:tc>
        <w:tc>
          <w:tcPr>
            <w:tcW w:w="992" w:type="dxa"/>
            <w:vAlign w:val="center"/>
          </w:tcPr>
          <w:p w:rsidR="008B3E70" w:rsidRPr="00AA19EC" w:rsidRDefault="00890D40" w:rsidP="00106DED">
            <w:pPr>
              <w:jc w:val="center"/>
              <w:rPr>
                <w:sz w:val="18"/>
                <w:szCs w:val="18"/>
              </w:rPr>
            </w:pPr>
            <w:r w:rsidRPr="00890D40">
              <w:rPr>
                <w:sz w:val="18"/>
                <w:szCs w:val="18"/>
              </w:rPr>
              <w:t>Trimestral</w:t>
            </w:r>
          </w:p>
        </w:tc>
        <w:tc>
          <w:tcPr>
            <w:tcW w:w="426" w:type="dxa"/>
            <w:shd w:val="clear" w:color="auto" w:fill="92D050"/>
            <w:vAlign w:val="center"/>
          </w:tcPr>
          <w:p w:rsidR="008B3E70" w:rsidRPr="0033635C" w:rsidRDefault="00944C0E" w:rsidP="00106DED">
            <w:pPr>
              <w:jc w:val="center"/>
              <w:rPr>
                <w:b/>
                <w:sz w:val="32"/>
                <w:szCs w:val="18"/>
              </w:rPr>
            </w:pPr>
            <w:r w:rsidRPr="0033635C">
              <w:rPr>
                <w:b/>
                <w:sz w:val="32"/>
                <w:szCs w:val="18"/>
              </w:rPr>
              <w:t>X</w:t>
            </w:r>
          </w:p>
        </w:tc>
        <w:tc>
          <w:tcPr>
            <w:tcW w:w="567" w:type="dxa"/>
          </w:tcPr>
          <w:p w:rsidR="008B3E70" w:rsidRPr="00AA19EC" w:rsidRDefault="008B3E70" w:rsidP="00AA19EC">
            <w:pPr>
              <w:jc w:val="center"/>
              <w:rPr>
                <w:sz w:val="18"/>
                <w:szCs w:val="18"/>
              </w:rPr>
            </w:pPr>
          </w:p>
        </w:tc>
        <w:tc>
          <w:tcPr>
            <w:tcW w:w="2409" w:type="dxa"/>
          </w:tcPr>
          <w:p w:rsidR="008B3E70" w:rsidRPr="00AA19EC" w:rsidRDefault="008B3E70" w:rsidP="00AA19EC">
            <w:pPr>
              <w:jc w:val="center"/>
              <w:rPr>
                <w:sz w:val="18"/>
                <w:szCs w:val="18"/>
              </w:rPr>
            </w:pPr>
          </w:p>
        </w:tc>
        <w:tc>
          <w:tcPr>
            <w:tcW w:w="2694" w:type="dxa"/>
          </w:tcPr>
          <w:p w:rsidR="008B3E70" w:rsidRPr="00AA19EC" w:rsidRDefault="008B3E70" w:rsidP="00AA19EC">
            <w:pPr>
              <w:jc w:val="center"/>
              <w:rPr>
                <w:sz w:val="18"/>
                <w:szCs w:val="18"/>
              </w:rPr>
            </w:pPr>
          </w:p>
        </w:tc>
      </w:tr>
      <w:tr w:rsidR="008B3E70" w:rsidRPr="00AA19EC" w:rsidTr="0033635C">
        <w:tc>
          <w:tcPr>
            <w:tcW w:w="2518" w:type="dxa"/>
            <w:shd w:val="clear" w:color="auto" w:fill="D9D9D9" w:themeFill="background1" w:themeFillShade="D9"/>
          </w:tcPr>
          <w:p w:rsidR="008B3E70" w:rsidRPr="00AA19EC" w:rsidRDefault="00890D40" w:rsidP="00181361">
            <w:pPr>
              <w:rPr>
                <w:sz w:val="18"/>
                <w:szCs w:val="18"/>
              </w:rPr>
            </w:pPr>
            <w:proofErr w:type="gramStart"/>
            <w:r w:rsidRPr="00890D40">
              <w:rPr>
                <w:sz w:val="18"/>
                <w:szCs w:val="18"/>
              </w:rPr>
              <w:t>I.[</w:t>
            </w:r>
            <w:proofErr w:type="gramEnd"/>
            <w:r w:rsidRPr="00890D40">
              <w:rPr>
                <w:sz w:val="18"/>
                <w:szCs w:val="18"/>
              </w:rPr>
              <w:t>PC 08.2]-06.4</w:t>
            </w:r>
            <w:r w:rsidRPr="00890D40">
              <w:rPr>
                <w:sz w:val="18"/>
                <w:szCs w:val="18"/>
              </w:rPr>
              <w:tab/>
              <w:t>Porcentaje de asistencias técnicas finalizadas desde su tramitación, en los siguientes plazos: 20 días hábiles.</w:t>
            </w:r>
          </w:p>
        </w:tc>
        <w:tc>
          <w:tcPr>
            <w:tcW w:w="1134" w:type="dxa"/>
            <w:vAlign w:val="center"/>
          </w:tcPr>
          <w:p w:rsidR="008B3E70" w:rsidRPr="00AA19EC" w:rsidRDefault="00890D40" w:rsidP="00106DED">
            <w:pPr>
              <w:jc w:val="center"/>
              <w:rPr>
                <w:sz w:val="18"/>
                <w:szCs w:val="18"/>
              </w:rPr>
            </w:pPr>
            <w:r w:rsidRPr="00890D40">
              <w:rPr>
                <w:sz w:val="18"/>
                <w:szCs w:val="18"/>
              </w:rPr>
              <w:t>&gt;=80%</w:t>
            </w:r>
          </w:p>
        </w:tc>
        <w:tc>
          <w:tcPr>
            <w:tcW w:w="992" w:type="dxa"/>
            <w:vAlign w:val="center"/>
          </w:tcPr>
          <w:p w:rsidR="008B3E70" w:rsidRPr="00AA19EC" w:rsidRDefault="00890D40" w:rsidP="00106DED">
            <w:pPr>
              <w:jc w:val="center"/>
              <w:rPr>
                <w:sz w:val="18"/>
                <w:szCs w:val="18"/>
              </w:rPr>
            </w:pPr>
            <w:r w:rsidRPr="00890D40">
              <w:rPr>
                <w:sz w:val="18"/>
                <w:szCs w:val="18"/>
              </w:rPr>
              <w:t>Trimestral</w:t>
            </w:r>
          </w:p>
        </w:tc>
        <w:tc>
          <w:tcPr>
            <w:tcW w:w="426" w:type="dxa"/>
            <w:shd w:val="clear" w:color="auto" w:fill="92D050"/>
            <w:vAlign w:val="center"/>
          </w:tcPr>
          <w:p w:rsidR="008B3E70" w:rsidRPr="0033635C" w:rsidRDefault="00944C0E" w:rsidP="00106DED">
            <w:pPr>
              <w:jc w:val="center"/>
              <w:rPr>
                <w:b/>
                <w:sz w:val="32"/>
                <w:szCs w:val="18"/>
              </w:rPr>
            </w:pPr>
            <w:r w:rsidRPr="0033635C">
              <w:rPr>
                <w:b/>
                <w:sz w:val="32"/>
                <w:szCs w:val="18"/>
              </w:rPr>
              <w:t>X</w:t>
            </w:r>
          </w:p>
        </w:tc>
        <w:tc>
          <w:tcPr>
            <w:tcW w:w="567" w:type="dxa"/>
          </w:tcPr>
          <w:p w:rsidR="008B3E70" w:rsidRPr="00AA19EC" w:rsidRDefault="008B3E70" w:rsidP="00AA19EC">
            <w:pPr>
              <w:jc w:val="center"/>
              <w:rPr>
                <w:sz w:val="18"/>
                <w:szCs w:val="18"/>
              </w:rPr>
            </w:pPr>
          </w:p>
        </w:tc>
        <w:tc>
          <w:tcPr>
            <w:tcW w:w="2409" w:type="dxa"/>
          </w:tcPr>
          <w:p w:rsidR="008B3E70" w:rsidRPr="00AA19EC" w:rsidRDefault="008B3E70" w:rsidP="00AA19EC">
            <w:pPr>
              <w:jc w:val="center"/>
              <w:rPr>
                <w:sz w:val="18"/>
                <w:szCs w:val="18"/>
              </w:rPr>
            </w:pPr>
          </w:p>
        </w:tc>
        <w:tc>
          <w:tcPr>
            <w:tcW w:w="2694" w:type="dxa"/>
          </w:tcPr>
          <w:p w:rsidR="008B3E70" w:rsidRPr="00AA19EC" w:rsidRDefault="008B3E70" w:rsidP="00AA19EC">
            <w:pPr>
              <w:jc w:val="center"/>
              <w:rPr>
                <w:sz w:val="18"/>
                <w:szCs w:val="18"/>
              </w:rPr>
            </w:pPr>
          </w:p>
        </w:tc>
      </w:tr>
      <w:tr w:rsidR="00890D40" w:rsidRPr="00AA19EC" w:rsidTr="0033635C">
        <w:tc>
          <w:tcPr>
            <w:tcW w:w="2518" w:type="dxa"/>
            <w:shd w:val="clear" w:color="auto" w:fill="D9D9D9" w:themeFill="background1" w:themeFillShade="D9"/>
          </w:tcPr>
          <w:p w:rsidR="00890D40" w:rsidRPr="00AA19EC" w:rsidRDefault="00890D40" w:rsidP="00181361">
            <w:pPr>
              <w:rPr>
                <w:sz w:val="18"/>
                <w:szCs w:val="18"/>
              </w:rPr>
            </w:pPr>
            <w:r w:rsidRPr="00890D40">
              <w:rPr>
                <w:sz w:val="18"/>
                <w:szCs w:val="18"/>
              </w:rPr>
              <w:t>I.[PC 08.2]-08</w:t>
            </w:r>
            <w:r w:rsidRPr="00890D40">
              <w:rPr>
                <w:sz w:val="18"/>
                <w:szCs w:val="18"/>
              </w:rPr>
              <w:tab/>
              <w:t>Porcentaje de adecuación funcional de recursos para prácticas docentes</w:t>
            </w:r>
          </w:p>
        </w:tc>
        <w:tc>
          <w:tcPr>
            <w:tcW w:w="1134" w:type="dxa"/>
            <w:vAlign w:val="center"/>
          </w:tcPr>
          <w:p w:rsidR="00890D40" w:rsidRPr="00AA19EC" w:rsidRDefault="00890D40" w:rsidP="00106DED">
            <w:pPr>
              <w:jc w:val="center"/>
              <w:rPr>
                <w:sz w:val="18"/>
                <w:szCs w:val="18"/>
              </w:rPr>
            </w:pPr>
            <w:r w:rsidRPr="00890D40">
              <w:rPr>
                <w:sz w:val="18"/>
                <w:szCs w:val="18"/>
              </w:rPr>
              <w:t>&gt;=95%</w:t>
            </w:r>
          </w:p>
        </w:tc>
        <w:tc>
          <w:tcPr>
            <w:tcW w:w="992" w:type="dxa"/>
            <w:vAlign w:val="center"/>
          </w:tcPr>
          <w:p w:rsidR="00890D40" w:rsidRPr="00AA19EC" w:rsidRDefault="00890D40" w:rsidP="00106DED">
            <w:pPr>
              <w:jc w:val="center"/>
              <w:rPr>
                <w:sz w:val="18"/>
                <w:szCs w:val="18"/>
              </w:rPr>
            </w:pPr>
            <w:r w:rsidRPr="00890D40">
              <w:rPr>
                <w:sz w:val="18"/>
                <w:szCs w:val="18"/>
              </w:rPr>
              <w:t>Semestral</w:t>
            </w:r>
          </w:p>
        </w:tc>
        <w:tc>
          <w:tcPr>
            <w:tcW w:w="426" w:type="dxa"/>
            <w:shd w:val="clear" w:color="auto" w:fill="92D050"/>
            <w:vAlign w:val="center"/>
          </w:tcPr>
          <w:p w:rsidR="00890D40" w:rsidRPr="0033635C" w:rsidRDefault="00944C0E" w:rsidP="00106DED">
            <w:pPr>
              <w:jc w:val="center"/>
              <w:rPr>
                <w:b/>
                <w:sz w:val="32"/>
                <w:szCs w:val="18"/>
              </w:rPr>
            </w:pPr>
            <w:r w:rsidRPr="0033635C">
              <w:rPr>
                <w:b/>
                <w:sz w:val="32"/>
                <w:szCs w:val="18"/>
              </w:rPr>
              <w:t>X</w:t>
            </w:r>
          </w:p>
        </w:tc>
        <w:tc>
          <w:tcPr>
            <w:tcW w:w="567" w:type="dxa"/>
          </w:tcPr>
          <w:p w:rsidR="00890D40" w:rsidRPr="00AA19EC" w:rsidRDefault="00890D40" w:rsidP="00AA19EC">
            <w:pPr>
              <w:jc w:val="center"/>
              <w:rPr>
                <w:sz w:val="18"/>
                <w:szCs w:val="18"/>
              </w:rPr>
            </w:pPr>
          </w:p>
        </w:tc>
        <w:tc>
          <w:tcPr>
            <w:tcW w:w="2409" w:type="dxa"/>
          </w:tcPr>
          <w:p w:rsidR="00890D40" w:rsidRPr="00AA19EC" w:rsidRDefault="00890D40" w:rsidP="00AA19EC">
            <w:pPr>
              <w:jc w:val="center"/>
              <w:rPr>
                <w:sz w:val="18"/>
                <w:szCs w:val="18"/>
              </w:rPr>
            </w:pPr>
          </w:p>
        </w:tc>
        <w:tc>
          <w:tcPr>
            <w:tcW w:w="2694" w:type="dxa"/>
          </w:tcPr>
          <w:p w:rsidR="00890D40" w:rsidRPr="00AA19EC" w:rsidRDefault="00890D40" w:rsidP="00AA19EC">
            <w:pPr>
              <w:jc w:val="center"/>
              <w:rPr>
                <w:sz w:val="18"/>
                <w:szCs w:val="18"/>
              </w:rPr>
            </w:pPr>
          </w:p>
        </w:tc>
      </w:tr>
      <w:tr w:rsidR="00181361" w:rsidTr="00B266DC">
        <w:trPr>
          <w:trHeight w:val="857"/>
        </w:trPr>
        <w:tc>
          <w:tcPr>
            <w:tcW w:w="2518" w:type="dxa"/>
            <w:shd w:val="clear" w:color="auto" w:fill="D9D9D9" w:themeFill="background1" w:themeFillShade="D9"/>
            <w:vAlign w:val="center"/>
          </w:tcPr>
          <w:p w:rsidR="00181361" w:rsidRPr="00847DD5" w:rsidRDefault="00181361" w:rsidP="0073232D">
            <w:pPr>
              <w:rPr>
                <w:b/>
                <w:sz w:val="20"/>
                <w:szCs w:val="20"/>
              </w:rPr>
            </w:pPr>
            <w:r w:rsidRPr="00847DD5">
              <w:rPr>
                <w:b/>
                <w:sz w:val="20"/>
                <w:szCs w:val="20"/>
              </w:rPr>
              <w:t>Valoración de auditoría</w:t>
            </w:r>
          </w:p>
        </w:tc>
        <w:tc>
          <w:tcPr>
            <w:tcW w:w="8222" w:type="dxa"/>
            <w:gridSpan w:val="6"/>
            <w:vAlign w:val="center"/>
          </w:tcPr>
          <w:p w:rsidR="005F5BF2" w:rsidRPr="0033635C" w:rsidRDefault="005F5BF2" w:rsidP="005F5BF2">
            <w:pPr>
              <w:jc w:val="both"/>
              <w:rPr>
                <w:sz w:val="20"/>
              </w:rPr>
            </w:pPr>
            <w:r w:rsidRPr="0033635C">
              <w:rPr>
                <w:sz w:val="20"/>
              </w:rPr>
              <w:t xml:space="preserve">Se verifica las mediciones periódicas de los indicadores correspondientes al proceso” PC 08. Gestión de la prestación de servicios de apoyo científico técnico” referidos a la Unidad de Técnicos de Laboratorio de Apoyo a Departamentos, Institutos y Centros de Investigación, así como la previsión de su cumplimiento y/o alcance de los objetivos establecidos para este ciclo de gestión y de conformidad con lo establecido en el Programa de Auditoría Interna de Seguimiento 2015. En este sentido, </w:t>
            </w:r>
            <w:r w:rsidR="00650306" w:rsidRPr="0033635C">
              <w:rPr>
                <w:sz w:val="20"/>
              </w:rPr>
              <w:t>el</w:t>
            </w:r>
            <w:r w:rsidRPr="0033635C">
              <w:rPr>
                <w:sz w:val="20"/>
              </w:rPr>
              <w:t xml:space="preserve"> indicador</w:t>
            </w:r>
            <w:r w:rsidR="00650306" w:rsidRPr="0033635C">
              <w:rPr>
                <w:sz w:val="20"/>
              </w:rPr>
              <w:t xml:space="preserve"> I</w:t>
            </w:r>
            <w:proofErr w:type="gramStart"/>
            <w:r w:rsidR="00650306" w:rsidRPr="0033635C">
              <w:rPr>
                <w:sz w:val="20"/>
              </w:rPr>
              <w:t>.[</w:t>
            </w:r>
            <w:proofErr w:type="gramEnd"/>
            <w:r w:rsidR="00650306" w:rsidRPr="0033635C">
              <w:rPr>
                <w:sz w:val="20"/>
              </w:rPr>
              <w:t xml:space="preserve">PC 08.2]-05 muestra un valor del 98%; </w:t>
            </w:r>
            <w:r w:rsidRPr="0033635C">
              <w:rPr>
                <w:sz w:val="20"/>
              </w:rPr>
              <w:t xml:space="preserve"> </w:t>
            </w:r>
            <w:r w:rsidR="00650306" w:rsidRPr="0033635C">
              <w:rPr>
                <w:sz w:val="20"/>
              </w:rPr>
              <w:t>el indicador I.[PC 08.2]-06.1,2,3 y 4 muestran valores del 93%, 96%, 98% y 98% respectivamente; y por último, el indicador I.[PC 08.2]-08 refleja un valor del 99%.</w:t>
            </w:r>
          </w:p>
          <w:p w:rsidR="005F5BF2" w:rsidRPr="0033635C" w:rsidRDefault="005F5BF2" w:rsidP="005F5BF2">
            <w:pPr>
              <w:jc w:val="both"/>
              <w:rPr>
                <w:sz w:val="20"/>
              </w:rPr>
            </w:pPr>
          </w:p>
          <w:p w:rsidR="00FB2503" w:rsidRPr="0033635C" w:rsidRDefault="005F5BF2" w:rsidP="00FB2503">
            <w:pPr>
              <w:jc w:val="both"/>
              <w:rPr>
                <w:sz w:val="20"/>
              </w:rPr>
            </w:pPr>
            <w:r w:rsidRPr="0033635C">
              <w:rPr>
                <w:sz w:val="20"/>
              </w:rPr>
              <w:t xml:space="preserve">Asimismo, se verifica de forma general,  el ajuste de los niveles de objetivos a la verdadera capacidad de los procesos, según histórico de resultados. No obstante se </w:t>
            </w:r>
            <w:r w:rsidR="0033635C">
              <w:rPr>
                <w:sz w:val="20"/>
              </w:rPr>
              <w:t>observa que s</w:t>
            </w:r>
            <w:r w:rsidR="00FB2503" w:rsidRPr="0033635C">
              <w:rPr>
                <w:sz w:val="20"/>
              </w:rPr>
              <w:t>i bien el indicador I</w:t>
            </w:r>
            <w:proofErr w:type="gramStart"/>
            <w:r w:rsidR="00FB2503" w:rsidRPr="0033635C">
              <w:rPr>
                <w:sz w:val="20"/>
              </w:rPr>
              <w:t>.[</w:t>
            </w:r>
            <w:proofErr w:type="gramEnd"/>
            <w:r w:rsidR="00FB2503" w:rsidRPr="0033635C">
              <w:rPr>
                <w:sz w:val="20"/>
              </w:rPr>
              <w:t xml:space="preserve">PC 08.2]-06 en sus cuatro apartados presenta mediciones muy superiores al objetivo, la Unidad señala el riesgo que la modificación del valor objetivo pudiera ocasionar en el cumplimiento del indicador ya que en los tres años anteriores han estado analizando el valor objetivo de este indicador y las mediciones registradas han sufrido variaciones considerables. </w:t>
            </w:r>
          </w:p>
          <w:p w:rsidR="00FB2503" w:rsidRPr="0033635C" w:rsidRDefault="00FB2503" w:rsidP="00FB2503">
            <w:pPr>
              <w:jc w:val="both"/>
              <w:rPr>
                <w:sz w:val="20"/>
              </w:rPr>
            </w:pPr>
          </w:p>
          <w:p w:rsidR="00650306" w:rsidRPr="0033635C" w:rsidRDefault="00FB2503" w:rsidP="00FB2503">
            <w:pPr>
              <w:jc w:val="both"/>
              <w:rPr>
                <w:sz w:val="20"/>
              </w:rPr>
            </w:pPr>
            <w:r w:rsidRPr="0033635C">
              <w:rPr>
                <w:sz w:val="20"/>
              </w:rPr>
              <w:t>Ante las alegaciones planteadas por la Unidad, el equipo auditor no considera aconsejable la revisión de los valores objetivos del indicador, de cara a asegurar su cumplimiento.</w:t>
            </w:r>
          </w:p>
          <w:p w:rsidR="00650306" w:rsidRPr="0033635C" w:rsidRDefault="00650306" w:rsidP="005F5BF2">
            <w:pPr>
              <w:jc w:val="both"/>
              <w:rPr>
                <w:sz w:val="20"/>
              </w:rPr>
            </w:pPr>
          </w:p>
          <w:p w:rsidR="00181361" w:rsidRDefault="005F5BF2" w:rsidP="0033635C">
            <w:pPr>
              <w:jc w:val="both"/>
            </w:pPr>
            <w:r w:rsidRPr="0033635C">
              <w:rPr>
                <w:sz w:val="20"/>
              </w:rPr>
              <w:t>Se comprueba la disposición e integridad de los datos segmentados por Unidades de Gestión integrantes de la Unidad de Apoyo a Órganos de Gobierno y objeto de auditoría interna de seguimiento.</w:t>
            </w:r>
          </w:p>
        </w:tc>
      </w:tr>
    </w:tbl>
    <w:p w:rsidR="00B47ED3" w:rsidRDefault="00B93D6F" w:rsidP="0033635C">
      <w:pPr>
        <w:spacing w:after="200"/>
        <w:rPr>
          <w:b/>
        </w:rPr>
      </w:pPr>
      <w:r>
        <w:rPr>
          <w:b/>
        </w:rPr>
        <w:br w:type="page"/>
      </w:r>
      <w:r w:rsidR="00B47ED3" w:rsidRPr="00183796">
        <w:rPr>
          <w:b/>
        </w:rPr>
        <w:lastRenderedPageBreak/>
        <w:t>2.- QUEJAS Y SUGERENCIAS</w:t>
      </w:r>
    </w:p>
    <w:tbl>
      <w:tblPr>
        <w:tblStyle w:val="Tablaconcuadrcula"/>
        <w:tblW w:w="10740" w:type="dxa"/>
        <w:tblLayout w:type="fixed"/>
        <w:tblLook w:val="04A0" w:firstRow="1" w:lastRow="0" w:firstColumn="1" w:lastColumn="0" w:noHBand="0" w:noVBand="1"/>
      </w:tblPr>
      <w:tblGrid>
        <w:gridCol w:w="2518"/>
        <w:gridCol w:w="567"/>
        <w:gridCol w:w="567"/>
        <w:gridCol w:w="2693"/>
        <w:gridCol w:w="567"/>
        <w:gridCol w:w="567"/>
        <w:gridCol w:w="3261"/>
      </w:tblGrid>
      <w:tr w:rsidR="00A14113" w:rsidTr="00A14113">
        <w:trPr>
          <w:trHeight w:val="120"/>
        </w:trPr>
        <w:tc>
          <w:tcPr>
            <w:tcW w:w="2518" w:type="dxa"/>
            <w:vMerge w:val="restart"/>
            <w:shd w:val="clear" w:color="auto" w:fill="D9D9D9" w:themeFill="background1" w:themeFillShade="D9"/>
            <w:vAlign w:val="center"/>
          </w:tcPr>
          <w:p w:rsidR="00A14113" w:rsidRPr="00847DD5" w:rsidRDefault="00A14113" w:rsidP="001D0752">
            <w:pPr>
              <w:rPr>
                <w:b/>
                <w:sz w:val="20"/>
                <w:szCs w:val="20"/>
              </w:rPr>
            </w:pPr>
            <w:r w:rsidRPr="00847DD5">
              <w:rPr>
                <w:b/>
                <w:sz w:val="20"/>
                <w:szCs w:val="20"/>
              </w:rPr>
              <w:t>Q</w:t>
            </w:r>
            <w:r>
              <w:rPr>
                <w:b/>
                <w:sz w:val="20"/>
                <w:szCs w:val="20"/>
              </w:rPr>
              <w:t>uejas</w:t>
            </w:r>
          </w:p>
        </w:tc>
        <w:tc>
          <w:tcPr>
            <w:tcW w:w="1134" w:type="dxa"/>
            <w:gridSpan w:val="2"/>
            <w:vAlign w:val="center"/>
          </w:tcPr>
          <w:p w:rsidR="00A14113" w:rsidRPr="00847DD5" w:rsidRDefault="00A14113" w:rsidP="001D0752">
            <w:pPr>
              <w:jc w:val="center"/>
              <w:rPr>
                <w:sz w:val="18"/>
                <w:szCs w:val="18"/>
              </w:rPr>
            </w:pPr>
            <w:r>
              <w:rPr>
                <w:sz w:val="18"/>
                <w:szCs w:val="18"/>
              </w:rPr>
              <w:t>Respuesta en plazo</w:t>
            </w:r>
          </w:p>
        </w:tc>
        <w:tc>
          <w:tcPr>
            <w:tcW w:w="2693" w:type="dxa"/>
            <w:vMerge w:val="restart"/>
            <w:vAlign w:val="center"/>
          </w:tcPr>
          <w:p w:rsidR="00A14113" w:rsidRPr="00847DD5" w:rsidRDefault="00A14113" w:rsidP="001D0752">
            <w:pPr>
              <w:jc w:val="center"/>
              <w:rPr>
                <w:sz w:val="18"/>
                <w:szCs w:val="18"/>
              </w:rPr>
            </w:pPr>
            <w:r w:rsidRPr="00847DD5">
              <w:rPr>
                <w:sz w:val="18"/>
                <w:szCs w:val="18"/>
              </w:rPr>
              <w:t>Valoración por la Unidad</w:t>
            </w:r>
            <w:r>
              <w:rPr>
                <w:sz w:val="18"/>
                <w:szCs w:val="18"/>
              </w:rPr>
              <w:t xml:space="preserve"> (se han realizado</w:t>
            </w:r>
            <w:r w:rsidR="00CF030D">
              <w:rPr>
                <w:sz w:val="18"/>
                <w:szCs w:val="18"/>
              </w:rPr>
              <w:t xml:space="preserve"> gestiones,</w:t>
            </w:r>
            <w:r>
              <w:rPr>
                <w:sz w:val="18"/>
                <w:szCs w:val="18"/>
              </w:rPr>
              <w:t xml:space="preserve"> actuaciones…)</w:t>
            </w:r>
          </w:p>
        </w:tc>
        <w:tc>
          <w:tcPr>
            <w:tcW w:w="1134" w:type="dxa"/>
            <w:gridSpan w:val="2"/>
            <w:vAlign w:val="center"/>
          </w:tcPr>
          <w:p w:rsidR="00A14113" w:rsidRPr="00847DD5" w:rsidRDefault="00A14113" w:rsidP="001D0752">
            <w:pPr>
              <w:jc w:val="center"/>
              <w:rPr>
                <w:sz w:val="18"/>
                <w:szCs w:val="18"/>
              </w:rPr>
            </w:pPr>
            <w:r w:rsidRPr="00847DD5">
              <w:rPr>
                <w:sz w:val="18"/>
                <w:szCs w:val="18"/>
              </w:rPr>
              <w:t>Mejoras realizadas</w:t>
            </w:r>
          </w:p>
        </w:tc>
        <w:tc>
          <w:tcPr>
            <w:tcW w:w="3261" w:type="dxa"/>
            <w:vMerge w:val="restart"/>
            <w:vAlign w:val="center"/>
          </w:tcPr>
          <w:p w:rsidR="00A14113" w:rsidRPr="00847DD5" w:rsidRDefault="00A14113" w:rsidP="001D0752">
            <w:pPr>
              <w:jc w:val="center"/>
              <w:rPr>
                <w:sz w:val="18"/>
                <w:szCs w:val="18"/>
              </w:rPr>
            </w:pPr>
            <w:r>
              <w:rPr>
                <w:sz w:val="18"/>
                <w:szCs w:val="18"/>
              </w:rPr>
              <w:t>Valoración de auditoría de las mejoras implantadas</w:t>
            </w:r>
          </w:p>
        </w:tc>
      </w:tr>
      <w:tr w:rsidR="00A14113" w:rsidTr="00A14113">
        <w:trPr>
          <w:trHeight w:val="120"/>
        </w:trPr>
        <w:tc>
          <w:tcPr>
            <w:tcW w:w="2518" w:type="dxa"/>
            <w:vMerge/>
            <w:shd w:val="clear" w:color="auto" w:fill="D9D9D9" w:themeFill="background1" w:themeFillShade="D9"/>
            <w:vAlign w:val="center"/>
          </w:tcPr>
          <w:p w:rsidR="00A14113" w:rsidRPr="00847DD5" w:rsidRDefault="00A14113" w:rsidP="001D0752">
            <w:pPr>
              <w:rPr>
                <w:b/>
                <w:sz w:val="20"/>
                <w:szCs w:val="20"/>
              </w:rPr>
            </w:pPr>
          </w:p>
        </w:tc>
        <w:tc>
          <w:tcPr>
            <w:tcW w:w="567" w:type="dxa"/>
            <w:vAlign w:val="center"/>
          </w:tcPr>
          <w:p w:rsidR="00A14113" w:rsidRPr="00847DD5" w:rsidRDefault="00A14113" w:rsidP="001D0752">
            <w:pPr>
              <w:jc w:val="center"/>
              <w:rPr>
                <w:sz w:val="18"/>
                <w:szCs w:val="18"/>
              </w:rPr>
            </w:pPr>
            <w:r>
              <w:rPr>
                <w:sz w:val="18"/>
                <w:szCs w:val="18"/>
              </w:rPr>
              <w:t>Sí</w:t>
            </w:r>
          </w:p>
        </w:tc>
        <w:tc>
          <w:tcPr>
            <w:tcW w:w="567" w:type="dxa"/>
            <w:vAlign w:val="center"/>
          </w:tcPr>
          <w:p w:rsidR="00A14113" w:rsidRPr="00847DD5" w:rsidRDefault="00A14113" w:rsidP="001D0752">
            <w:pPr>
              <w:jc w:val="center"/>
              <w:rPr>
                <w:sz w:val="18"/>
                <w:szCs w:val="18"/>
              </w:rPr>
            </w:pPr>
            <w:r>
              <w:rPr>
                <w:sz w:val="18"/>
                <w:szCs w:val="18"/>
              </w:rPr>
              <w:t>No</w:t>
            </w:r>
          </w:p>
        </w:tc>
        <w:tc>
          <w:tcPr>
            <w:tcW w:w="2693" w:type="dxa"/>
            <w:vMerge/>
            <w:vAlign w:val="center"/>
          </w:tcPr>
          <w:p w:rsidR="00A14113" w:rsidRPr="00847DD5" w:rsidRDefault="00A14113" w:rsidP="001D0752">
            <w:pPr>
              <w:jc w:val="center"/>
              <w:rPr>
                <w:sz w:val="18"/>
                <w:szCs w:val="18"/>
              </w:rPr>
            </w:pPr>
          </w:p>
        </w:tc>
        <w:tc>
          <w:tcPr>
            <w:tcW w:w="567" w:type="dxa"/>
            <w:vAlign w:val="center"/>
          </w:tcPr>
          <w:p w:rsidR="00A14113" w:rsidRPr="00847DD5" w:rsidRDefault="00A14113" w:rsidP="001D0752">
            <w:pPr>
              <w:jc w:val="center"/>
              <w:rPr>
                <w:sz w:val="18"/>
                <w:szCs w:val="18"/>
              </w:rPr>
            </w:pPr>
            <w:r>
              <w:rPr>
                <w:sz w:val="18"/>
                <w:szCs w:val="18"/>
              </w:rPr>
              <w:t>Sí</w:t>
            </w:r>
          </w:p>
        </w:tc>
        <w:tc>
          <w:tcPr>
            <w:tcW w:w="567" w:type="dxa"/>
            <w:vAlign w:val="center"/>
          </w:tcPr>
          <w:p w:rsidR="00A14113" w:rsidRPr="00847DD5" w:rsidRDefault="00A14113" w:rsidP="001D0752">
            <w:pPr>
              <w:jc w:val="center"/>
              <w:rPr>
                <w:sz w:val="18"/>
                <w:szCs w:val="18"/>
              </w:rPr>
            </w:pPr>
            <w:r>
              <w:rPr>
                <w:sz w:val="18"/>
                <w:szCs w:val="18"/>
              </w:rPr>
              <w:t>No</w:t>
            </w:r>
          </w:p>
        </w:tc>
        <w:tc>
          <w:tcPr>
            <w:tcW w:w="3261" w:type="dxa"/>
            <w:vMerge/>
            <w:vAlign w:val="center"/>
          </w:tcPr>
          <w:p w:rsidR="00A14113" w:rsidRPr="00847DD5" w:rsidRDefault="00A14113" w:rsidP="001D0752">
            <w:pPr>
              <w:jc w:val="center"/>
              <w:rPr>
                <w:sz w:val="18"/>
                <w:szCs w:val="18"/>
              </w:rPr>
            </w:pPr>
          </w:p>
        </w:tc>
      </w:tr>
      <w:tr w:rsidR="0039526F" w:rsidTr="00C40A43">
        <w:trPr>
          <w:trHeight w:val="679"/>
        </w:trPr>
        <w:tc>
          <w:tcPr>
            <w:tcW w:w="2518" w:type="dxa"/>
            <w:shd w:val="clear" w:color="auto" w:fill="D9D9D9" w:themeFill="background1" w:themeFillShade="D9"/>
            <w:vAlign w:val="center"/>
          </w:tcPr>
          <w:p w:rsidR="0039526F" w:rsidRPr="004F10E9" w:rsidRDefault="00B93D6F" w:rsidP="001D0752">
            <w:pPr>
              <w:rPr>
                <w:sz w:val="20"/>
                <w:szCs w:val="20"/>
              </w:rPr>
            </w:pPr>
            <w:r>
              <w:rPr>
                <w:sz w:val="20"/>
                <w:szCs w:val="20"/>
              </w:rPr>
              <w:t xml:space="preserve">No se tiene constancia de </w:t>
            </w:r>
            <w:proofErr w:type="spellStart"/>
            <w:r>
              <w:rPr>
                <w:sz w:val="20"/>
                <w:szCs w:val="20"/>
              </w:rPr>
              <w:t>QyS</w:t>
            </w:r>
            <w:proofErr w:type="spellEnd"/>
            <w:r>
              <w:rPr>
                <w:sz w:val="20"/>
                <w:szCs w:val="20"/>
              </w:rPr>
              <w:t xml:space="preserve"> recibidas a través de canales formales.</w:t>
            </w:r>
          </w:p>
        </w:tc>
        <w:tc>
          <w:tcPr>
            <w:tcW w:w="567" w:type="dxa"/>
          </w:tcPr>
          <w:p w:rsidR="0039526F" w:rsidRPr="00847DD5" w:rsidRDefault="0039526F" w:rsidP="001D0752">
            <w:pPr>
              <w:rPr>
                <w:sz w:val="18"/>
                <w:szCs w:val="18"/>
              </w:rPr>
            </w:pPr>
          </w:p>
        </w:tc>
        <w:tc>
          <w:tcPr>
            <w:tcW w:w="567" w:type="dxa"/>
            <w:vAlign w:val="center"/>
          </w:tcPr>
          <w:p w:rsidR="0039526F" w:rsidRPr="00847DD5" w:rsidRDefault="0039526F" w:rsidP="001D0752">
            <w:pPr>
              <w:jc w:val="center"/>
              <w:rPr>
                <w:sz w:val="18"/>
                <w:szCs w:val="18"/>
              </w:rPr>
            </w:pPr>
          </w:p>
        </w:tc>
        <w:tc>
          <w:tcPr>
            <w:tcW w:w="2693" w:type="dxa"/>
            <w:vAlign w:val="center"/>
          </w:tcPr>
          <w:p w:rsidR="0039526F" w:rsidRPr="00847DD5" w:rsidRDefault="0039526F" w:rsidP="001D0752">
            <w:pPr>
              <w:rPr>
                <w:sz w:val="18"/>
                <w:szCs w:val="18"/>
              </w:rPr>
            </w:pPr>
          </w:p>
        </w:tc>
        <w:tc>
          <w:tcPr>
            <w:tcW w:w="567" w:type="dxa"/>
            <w:vAlign w:val="center"/>
          </w:tcPr>
          <w:p w:rsidR="0039526F" w:rsidRPr="00847DD5" w:rsidRDefault="0039526F" w:rsidP="001D0752">
            <w:pPr>
              <w:jc w:val="center"/>
              <w:rPr>
                <w:sz w:val="18"/>
                <w:szCs w:val="18"/>
              </w:rPr>
            </w:pPr>
          </w:p>
        </w:tc>
        <w:tc>
          <w:tcPr>
            <w:tcW w:w="567" w:type="dxa"/>
            <w:vAlign w:val="center"/>
          </w:tcPr>
          <w:p w:rsidR="0039526F" w:rsidRPr="00847DD5" w:rsidRDefault="0039526F" w:rsidP="001D0752">
            <w:pPr>
              <w:jc w:val="center"/>
              <w:rPr>
                <w:sz w:val="18"/>
                <w:szCs w:val="18"/>
              </w:rPr>
            </w:pPr>
          </w:p>
        </w:tc>
        <w:tc>
          <w:tcPr>
            <w:tcW w:w="3261" w:type="dxa"/>
            <w:vAlign w:val="center"/>
          </w:tcPr>
          <w:p w:rsidR="0039526F" w:rsidRPr="00847DD5" w:rsidRDefault="0039526F" w:rsidP="001D0752">
            <w:pPr>
              <w:rPr>
                <w:sz w:val="18"/>
                <w:szCs w:val="18"/>
              </w:rPr>
            </w:pPr>
          </w:p>
        </w:tc>
      </w:tr>
      <w:tr w:rsidR="006F689D" w:rsidTr="00A14113">
        <w:trPr>
          <w:trHeight w:val="844"/>
        </w:trPr>
        <w:tc>
          <w:tcPr>
            <w:tcW w:w="2518" w:type="dxa"/>
            <w:shd w:val="clear" w:color="auto" w:fill="D9D9D9" w:themeFill="background1" w:themeFillShade="D9"/>
            <w:vAlign w:val="center"/>
          </w:tcPr>
          <w:p w:rsidR="006F689D" w:rsidRPr="00847DD5" w:rsidRDefault="006F689D" w:rsidP="001D0752">
            <w:pPr>
              <w:rPr>
                <w:b/>
                <w:sz w:val="20"/>
                <w:szCs w:val="20"/>
              </w:rPr>
            </w:pPr>
            <w:r w:rsidRPr="00847DD5">
              <w:rPr>
                <w:b/>
                <w:sz w:val="20"/>
                <w:szCs w:val="20"/>
              </w:rPr>
              <w:t>Q</w:t>
            </w:r>
            <w:r>
              <w:rPr>
                <w:b/>
                <w:sz w:val="20"/>
                <w:szCs w:val="20"/>
              </w:rPr>
              <w:t xml:space="preserve">uejas </w:t>
            </w:r>
            <w:r w:rsidRPr="00847DD5">
              <w:rPr>
                <w:b/>
                <w:sz w:val="20"/>
                <w:szCs w:val="20"/>
              </w:rPr>
              <w:t>Informales:</w:t>
            </w:r>
          </w:p>
          <w:p w:rsidR="006F689D" w:rsidRPr="00847DD5" w:rsidRDefault="006F689D" w:rsidP="001D0752">
            <w:pPr>
              <w:rPr>
                <w:b/>
                <w:sz w:val="20"/>
                <w:szCs w:val="20"/>
              </w:rPr>
            </w:pPr>
            <w:r w:rsidRPr="00847DD5">
              <w:rPr>
                <w:b/>
                <w:sz w:val="20"/>
                <w:szCs w:val="20"/>
              </w:rPr>
              <w:t>Canal de Entrada.</w:t>
            </w:r>
          </w:p>
          <w:p w:rsidR="006F689D" w:rsidRPr="00847DD5" w:rsidRDefault="006F689D" w:rsidP="001D0752">
            <w:pPr>
              <w:rPr>
                <w:b/>
                <w:sz w:val="20"/>
                <w:szCs w:val="20"/>
              </w:rPr>
            </w:pPr>
            <w:r w:rsidRPr="00847DD5">
              <w:rPr>
                <w:b/>
                <w:sz w:val="20"/>
                <w:szCs w:val="20"/>
              </w:rPr>
              <w:t>Valoración y Mejoras.</w:t>
            </w:r>
          </w:p>
        </w:tc>
        <w:tc>
          <w:tcPr>
            <w:tcW w:w="8222" w:type="dxa"/>
            <w:gridSpan w:val="6"/>
          </w:tcPr>
          <w:p w:rsidR="00B93D6F" w:rsidRDefault="00B93D6F" w:rsidP="006F689D"/>
          <w:p w:rsidR="00B93D6F" w:rsidRDefault="00B93D6F" w:rsidP="006F689D"/>
          <w:p w:rsidR="00B93D6F" w:rsidRDefault="00B93D6F" w:rsidP="006F689D"/>
        </w:tc>
      </w:tr>
      <w:tr w:rsidR="006F689D" w:rsidTr="0033635C">
        <w:trPr>
          <w:trHeight w:val="857"/>
        </w:trPr>
        <w:tc>
          <w:tcPr>
            <w:tcW w:w="2518" w:type="dxa"/>
            <w:shd w:val="clear" w:color="auto" w:fill="D9D9D9" w:themeFill="background1" w:themeFillShade="D9"/>
            <w:vAlign w:val="center"/>
          </w:tcPr>
          <w:p w:rsidR="006F689D" w:rsidRPr="00847DD5" w:rsidRDefault="006F689D" w:rsidP="001D0752">
            <w:pPr>
              <w:rPr>
                <w:b/>
                <w:sz w:val="20"/>
                <w:szCs w:val="20"/>
              </w:rPr>
            </w:pPr>
            <w:r w:rsidRPr="00847DD5">
              <w:rPr>
                <w:b/>
                <w:sz w:val="20"/>
                <w:szCs w:val="20"/>
              </w:rPr>
              <w:t>Valoración de auditoría</w:t>
            </w:r>
          </w:p>
        </w:tc>
        <w:tc>
          <w:tcPr>
            <w:tcW w:w="8222" w:type="dxa"/>
            <w:gridSpan w:val="6"/>
            <w:vAlign w:val="center"/>
          </w:tcPr>
          <w:p w:rsidR="00B93D6F" w:rsidRDefault="00B17AA2" w:rsidP="0033635C">
            <w:r w:rsidRPr="001F5D74">
              <w:t>No se han presentado Quejas / Sugerencias procedentes tanto de los canales oficiales como de otras fuentes de información.</w:t>
            </w:r>
          </w:p>
        </w:tc>
      </w:tr>
    </w:tbl>
    <w:p w:rsidR="0042094A" w:rsidRDefault="0042094A"/>
    <w:tbl>
      <w:tblPr>
        <w:tblStyle w:val="Tablaconcuadrcula"/>
        <w:tblW w:w="10740" w:type="dxa"/>
        <w:tblLayout w:type="fixed"/>
        <w:tblLook w:val="04A0" w:firstRow="1" w:lastRow="0" w:firstColumn="1" w:lastColumn="0" w:noHBand="0" w:noVBand="1"/>
      </w:tblPr>
      <w:tblGrid>
        <w:gridCol w:w="2518"/>
        <w:gridCol w:w="567"/>
        <w:gridCol w:w="567"/>
        <w:gridCol w:w="2693"/>
        <w:gridCol w:w="567"/>
        <w:gridCol w:w="567"/>
        <w:gridCol w:w="3261"/>
      </w:tblGrid>
      <w:tr w:rsidR="001C34B5" w:rsidTr="00FB4D49">
        <w:trPr>
          <w:trHeight w:val="120"/>
        </w:trPr>
        <w:tc>
          <w:tcPr>
            <w:tcW w:w="2518" w:type="dxa"/>
            <w:vMerge w:val="restart"/>
            <w:shd w:val="clear" w:color="auto" w:fill="D9D9D9" w:themeFill="background1" w:themeFillShade="D9"/>
            <w:vAlign w:val="center"/>
          </w:tcPr>
          <w:p w:rsidR="001C34B5" w:rsidRPr="00847DD5" w:rsidRDefault="001C34B5" w:rsidP="00FB4D49">
            <w:pPr>
              <w:rPr>
                <w:b/>
                <w:sz w:val="20"/>
                <w:szCs w:val="20"/>
              </w:rPr>
            </w:pPr>
            <w:r w:rsidRPr="00847DD5">
              <w:rPr>
                <w:b/>
                <w:sz w:val="20"/>
                <w:szCs w:val="20"/>
              </w:rPr>
              <w:t>Sugerencia</w:t>
            </w:r>
            <w:r>
              <w:rPr>
                <w:b/>
                <w:sz w:val="20"/>
                <w:szCs w:val="20"/>
              </w:rPr>
              <w:t>s</w:t>
            </w:r>
          </w:p>
        </w:tc>
        <w:tc>
          <w:tcPr>
            <w:tcW w:w="1134" w:type="dxa"/>
            <w:gridSpan w:val="2"/>
            <w:vAlign w:val="center"/>
          </w:tcPr>
          <w:p w:rsidR="001C34B5" w:rsidRPr="00847DD5" w:rsidRDefault="001C34B5" w:rsidP="00FB4D49">
            <w:pPr>
              <w:jc w:val="center"/>
              <w:rPr>
                <w:sz w:val="18"/>
                <w:szCs w:val="18"/>
              </w:rPr>
            </w:pPr>
            <w:r>
              <w:rPr>
                <w:sz w:val="18"/>
                <w:szCs w:val="18"/>
              </w:rPr>
              <w:t>Respuesta en plazo</w:t>
            </w:r>
          </w:p>
        </w:tc>
        <w:tc>
          <w:tcPr>
            <w:tcW w:w="2693" w:type="dxa"/>
            <w:vMerge w:val="restart"/>
            <w:vAlign w:val="center"/>
          </w:tcPr>
          <w:p w:rsidR="001C34B5" w:rsidRPr="00847DD5" w:rsidRDefault="001C34B5" w:rsidP="00FB4D49">
            <w:pPr>
              <w:jc w:val="center"/>
              <w:rPr>
                <w:sz w:val="18"/>
                <w:szCs w:val="18"/>
              </w:rPr>
            </w:pPr>
            <w:r w:rsidRPr="00847DD5">
              <w:rPr>
                <w:sz w:val="18"/>
                <w:szCs w:val="18"/>
              </w:rPr>
              <w:t>Valoración por la Unidad</w:t>
            </w:r>
            <w:r>
              <w:rPr>
                <w:sz w:val="18"/>
                <w:szCs w:val="18"/>
              </w:rPr>
              <w:t xml:space="preserve"> (se han realizado gestiones, actuaciones…)</w:t>
            </w:r>
          </w:p>
        </w:tc>
        <w:tc>
          <w:tcPr>
            <w:tcW w:w="1134" w:type="dxa"/>
            <w:gridSpan w:val="2"/>
            <w:vAlign w:val="center"/>
          </w:tcPr>
          <w:p w:rsidR="001C34B5" w:rsidRPr="00847DD5" w:rsidRDefault="001C34B5" w:rsidP="00FB4D49">
            <w:pPr>
              <w:jc w:val="center"/>
              <w:rPr>
                <w:sz w:val="18"/>
                <w:szCs w:val="18"/>
              </w:rPr>
            </w:pPr>
            <w:r w:rsidRPr="00847DD5">
              <w:rPr>
                <w:sz w:val="18"/>
                <w:szCs w:val="18"/>
              </w:rPr>
              <w:t>Mejoras realizadas</w:t>
            </w:r>
          </w:p>
        </w:tc>
        <w:tc>
          <w:tcPr>
            <w:tcW w:w="3261" w:type="dxa"/>
            <w:vMerge w:val="restart"/>
            <w:vAlign w:val="center"/>
          </w:tcPr>
          <w:p w:rsidR="001C34B5" w:rsidRPr="00847DD5" w:rsidRDefault="001C34B5" w:rsidP="00FB4D49">
            <w:pPr>
              <w:jc w:val="center"/>
              <w:rPr>
                <w:sz w:val="18"/>
                <w:szCs w:val="18"/>
              </w:rPr>
            </w:pPr>
            <w:r>
              <w:rPr>
                <w:sz w:val="18"/>
                <w:szCs w:val="18"/>
              </w:rPr>
              <w:t>Valoración de auditoría de las mejoras implantadas</w:t>
            </w:r>
          </w:p>
        </w:tc>
      </w:tr>
      <w:tr w:rsidR="001C34B5" w:rsidTr="00FB4D49">
        <w:trPr>
          <w:trHeight w:val="120"/>
        </w:trPr>
        <w:tc>
          <w:tcPr>
            <w:tcW w:w="2518" w:type="dxa"/>
            <w:vMerge/>
            <w:shd w:val="clear" w:color="auto" w:fill="D9D9D9" w:themeFill="background1" w:themeFillShade="D9"/>
            <w:vAlign w:val="center"/>
          </w:tcPr>
          <w:p w:rsidR="001C34B5" w:rsidRPr="00847DD5" w:rsidRDefault="001C34B5" w:rsidP="00FB4D49">
            <w:pPr>
              <w:rPr>
                <w:b/>
                <w:sz w:val="20"/>
                <w:szCs w:val="20"/>
              </w:rPr>
            </w:pPr>
          </w:p>
        </w:tc>
        <w:tc>
          <w:tcPr>
            <w:tcW w:w="567" w:type="dxa"/>
            <w:vAlign w:val="center"/>
          </w:tcPr>
          <w:p w:rsidR="001C34B5" w:rsidRPr="00847DD5" w:rsidRDefault="001C34B5" w:rsidP="00FB4D49">
            <w:pPr>
              <w:jc w:val="center"/>
              <w:rPr>
                <w:sz w:val="18"/>
                <w:szCs w:val="18"/>
              </w:rPr>
            </w:pPr>
            <w:r>
              <w:rPr>
                <w:sz w:val="18"/>
                <w:szCs w:val="18"/>
              </w:rPr>
              <w:t>Sí</w:t>
            </w:r>
          </w:p>
        </w:tc>
        <w:tc>
          <w:tcPr>
            <w:tcW w:w="567" w:type="dxa"/>
            <w:vAlign w:val="center"/>
          </w:tcPr>
          <w:p w:rsidR="001C34B5" w:rsidRPr="00847DD5" w:rsidRDefault="001C34B5" w:rsidP="00FB4D49">
            <w:pPr>
              <w:jc w:val="center"/>
              <w:rPr>
                <w:sz w:val="18"/>
                <w:szCs w:val="18"/>
              </w:rPr>
            </w:pPr>
            <w:r>
              <w:rPr>
                <w:sz w:val="18"/>
                <w:szCs w:val="18"/>
              </w:rPr>
              <w:t>No</w:t>
            </w:r>
          </w:p>
        </w:tc>
        <w:tc>
          <w:tcPr>
            <w:tcW w:w="2693" w:type="dxa"/>
            <w:vMerge/>
            <w:vAlign w:val="center"/>
          </w:tcPr>
          <w:p w:rsidR="001C34B5" w:rsidRPr="00847DD5" w:rsidRDefault="001C34B5" w:rsidP="00FB4D49">
            <w:pPr>
              <w:jc w:val="center"/>
              <w:rPr>
                <w:sz w:val="18"/>
                <w:szCs w:val="18"/>
              </w:rPr>
            </w:pPr>
          </w:p>
        </w:tc>
        <w:tc>
          <w:tcPr>
            <w:tcW w:w="567" w:type="dxa"/>
            <w:vAlign w:val="center"/>
          </w:tcPr>
          <w:p w:rsidR="001C34B5" w:rsidRPr="00847DD5" w:rsidRDefault="001C34B5" w:rsidP="00FB4D49">
            <w:pPr>
              <w:jc w:val="center"/>
              <w:rPr>
                <w:sz w:val="18"/>
                <w:szCs w:val="18"/>
              </w:rPr>
            </w:pPr>
            <w:r>
              <w:rPr>
                <w:sz w:val="18"/>
                <w:szCs w:val="18"/>
              </w:rPr>
              <w:t>Sí</w:t>
            </w:r>
          </w:p>
        </w:tc>
        <w:tc>
          <w:tcPr>
            <w:tcW w:w="567" w:type="dxa"/>
            <w:vAlign w:val="center"/>
          </w:tcPr>
          <w:p w:rsidR="001C34B5" w:rsidRPr="00847DD5" w:rsidRDefault="001C34B5" w:rsidP="00FB4D49">
            <w:pPr>
              <w:jc w:val="center"/>
              <w:rPr>
                <w:sz w:val="18"/>
                <w:szCs w:val="18"/>
              </w:rPr>
            </w:pPr>
            <w:r>
              <w:rPr>
                <w:sz w:val="18"/>
                <w:szCs w:val="18"/>
              </w:rPr>
              <w:t>No</w:t>
            </w:r>
          </w:p>
        </w:tc>
        <w:tc>
          <w:tcPr>
            <w:tcW w:w="3261" w:type="dxa"/>
            <w:vMerge/>
            <w:vAlign w:val="center"/>
          </w:tcPr>
          <w:p w:rsidR="001C34B5" w:rsidRPr="00847DD5" w:rsidRDefault="001C34B5" w:rsidP="00FB4D49">
            <w:pPr>
              <w:jc w:val="center"/>
              <w:rPr>
                <w:sz w:val="18"/>
                <w:szCs w:val="18"/>
              </w:rPr>
            </w:pPr>
          </w:p>
        </w:tc>
      </w:tr>
      <w:tr w:rsidR="00B93D6F" w:rsidTr="002620DC">
        <w:trPr>
          <w:trHeight w:val="679"/>
        </w:trPr>
        <w:tc>
          <w:tcPr>
            <w:tcW w:w="2518" w:type="dxa"/>
            <w:shd w:val="clear" w:color="auto" w:fill="D9D9D9" w:themeFill="background1" w:themeFillShade="D9"/>
            <w:vAlign w:val="center"/>
          </w:tcPr>
          <w:p w:rsidR="00B93D6F" w:rsidRPr="00A22A58" w:rsidRDefault="00B93D6F" w:rsidP="00FB4D49">
            <w:pPr>
              <w:rPr>
                <w:sz w:val="20"/>
                <w:szCs w:val="20"/>
              </w:rPr>
            </w:pPr>
            <w:r>
              <w:rPr>
                <w:sz w:val="20"/>
                <w:szCs w:val="20"/>
              </w:rPr>
              <w:t xml:space="preserve">No se tiene constancia de </w:t>
            </w:r>
            <w:proofErr w:type="spellStart"/>
            <w:r>
              <w:rPr>
                <w:sz w:val="20"/>
                <w:szCs w:val="20"/>
              </w:rPr>
              <w:t>QyS</w:t>
            </w:r>
            <w:proofErr w:type="spellEnd"/>
            <w:r>
              <w:rPr>
                <w:sz w:val="20"/>
                <w:szCs w:val="20"/>
              </w:rPr>
              <w:t xml:space="preserve"> recibidas a través de canales formales.</w:t>
            </w:r>
          </w:p>
        </w:tc>
        <w:tc>
          <w:tcPr>
            <w:tcW w:w="567" w:type="dxa"/>
          </w:tcPr>
          <w:p w:rsidR="00B93D6F" w:rsidRPr="00847DD5" w:rsidRDefault="00B93D6F" w:rsidP="00FB4D49">
            <w:pPr>
              <w:rPr>
                <w:sz w:val="18"/>
                <w:szCs w:val="18"/>
              </w:rPr>
            </w:pPr>
          </w:p>
        </w:tc>
        <w:tc>
          <w:tcPr>
            <w:tcW w:w="567" w:type="dxa"/>
            <w:vAlign w:val="center"/>
          </w:tcPr>
          <w:p w:rsidR="00B93D6F" w:rsidRPr="00847DD5" w:rsidRDefault="00B93D6F" w:rsidP="00FB4D49">
            <w:pPr>
              <w:jc w:val="center"/>
              <w:rPr>
                <w:sz w:val="18"/>
                <w:szCs w:val="18"/>
              </w:rPr>
            </w:pPr>
          </w:p>
        </w:tc>
        <w:tc>
          <w:tcPr>
            <w:tcW w:w="2693" w:type="dxa"/>
            <w:vAlign w:val="center"/>
          </w:tcPr>
          <w:p w:rsidR="00B93D6F" w:rsidRPr="00847DD5" w:rsidRDefault="00B93D6F" w:rsidP="00FB4D49">
            <w:pPr>
              <w:rPr>
                <w:sz w:val="18"/>
                <w:szCs w:val="18"/>
              </w:rPr>
            </w:pPr>
          </w:p>
        </w:tc>
        <w:tc>
          <w:tcPr>
            <w:tcW w:w="567" w:type="dxa"/>
            <w:vAlign w:val="center"/>
          </w:tcPr>
          <w:p w:rsidR="00B93D6F" w:rsidRPr="00847DD5" w:rsidRDefault="00B93D6F" w:rsidP="00FB4D49">
            <w:pPr>
              <w:jc w:val="center"/>
              <w:rPr>
                <w:sz w:val="18"/>
                <w:szCs w:val="18"/>
              </w:rPr>
            </w:pPr>
          </w:p>
        </w:tc>
        <w:tc>
          <w:tcPr>
            <w:tcW w:w="567" w:type="dxa"/>
            <w:vAlign w:val="center"/>
          </w:tcPr>
          <w:p w:rsidR="00B93D6F" w:rsidRPr="00847DD5" w:rsidRDefault="00B93D6F" w:rsidP="00FB4D49">
            <w:pPr>
              <w:rPr>
                <w:sz w:val="18"/>
                <w:szCs w:val="18"/>
              </w:rPr>
            </w:pPr>
          </w:p>
        </w:tc>
        <w:tc>
          <w:tcPr>
            <w:tcW w:w="3261" w:type="dxa"/>
            <w:vAlign w:val="center"/>
          </w:tcPr>
          <w:p w:rsidR="00B93D6F" w:rsidRPr="00847DD5" w:rsidRDefault="00B93D6F" w:rsidP="00FB4D49">
            <w:pPr>
              <w:rPr>
                <w:sz w:val="18"/>
                <w:szCs w:val="18"/>
              </w:rPr>
            </w:pPr>
          </w:p>
        </w:tc>
      </w:tr>
      <w:tr w:rsidR="001C34B5" w:rsidTr="00FB4D49">
        <w:trPr>
          <w:trHeight w:val="844"/>
        </w:trPr>
        <w:tc>
          <w:tcPr>
            <w:tcW w:w="2518" w:type="dxa"/>
            <w:shd w:val="clear" w:color="auto" w:fill="D9D9D9" w:themeFill="background1" w:themeFillShade="D9"/>
            <w:vAlign w:val="center"/>
          </w:tcPr>
          <w:p w:rsidR="001C34B5" w:rsidRPr="00847DD5" w:rsidRDefault="001C34B5" w:rsidP="00FB4D49">
            <w:pPr>
              <w:rPr>
                <w:b/>
                <w:sz w:val="20"/>
                <w:szCs w:val="20"/>
              </w:rPr>
            </w:pPr>
            <w:r>
              <w:rPr>
                <w:b/>
                <w:sz w:val="20"/>
                <w:szCs w:val="20"/>
              </w:rPr>
              <w:t xml:space="preserve">Sugerencias </w:t>
            </w:r>
            <w:r w:rsidRPr="00847DD5">
              <w:rPr>
                <w:b/>
                <w:sz w:val="20"/>
                <w:szCs w:val="20"/>
              </w:rPr>
              <w:t>Informales:</w:t>
            </w:r>
          </w:p>
          <w:p w:rsidR="001C34B5" w:rsidRPr="00847DD5" w:rsidRDefault="001C34B5" w:rsidP="00FB4D49">
            <w:pPr>
              <w:rPr>
                <w:b/>
                <w:sz w:val="20"/>
                <w:szCs w:val="20"/>
              </w:rPr>
            </w:pPr>
            <w:r w:rsidRPr="00847DD5">
              <w:rPr>
                <w:b/>
                <w:sz w:val="20"/>
                <w:szCs w:val="20"/>
              </w:rPr>
              <w:t>Canal de Entrada.</w:t>
            </w:r>
          </w:p>
          <w:p w:rsidR="001C34B5" w:rsidRPr="00847DD5" w:rsidRDefault="001C34B5" w:rsidP="00FB4D49">
            <w:pPr>
              <w:rPr>
                <w:b/>
                <w:sz w:val="20"/>
                <w:szCs w:val="20"/>
              </w:rPr>
            </w:pPr>
            <w:r w:rsidRPr="00847DD5">
              <w:rPr>
                <w:b/>
                <w:sz w:val="20"/>
                <w:szCs w:val="20"/>
              </w:rPr>
              <w:t>Valoración y Mejoras.</w:t>
            </w:r>
          </w:p>
        </w:tc>
        <w:tc>
          <w:tcPr>
            <w:tcW w:w="8222" w:type="dxa"/>
            <w:gridSpan w:val="6"/>
          </w:tcPr>
          <w:p w:rsidR="00B93D6F" w:rsidRDefault="00B93D6F" w:rsidP="00FB4D49"/>
          <w:p w:rsidR="00B93D6F" w:rsidRDefault="00B93D6F" w:rsidP="00FB4D49"/>
        </w:tc>
      </w:tr>
      <w:tr w:rsidR="001C34B5" w:rsidTr="0033635C">
        <w:trPr>
          <w:trHeight w:val="857"/>
        </w:trPr>
        <w:tc>
          <w:tcPr>
            <w:tcW w:w="2518" w:type="dxa"/>
            <w:shd w:val="clear" w:color="auto" w:fill="D9D9D9" w:themeFill="background1" w:themeFillShade="D9"/>
            <w:vAlign w:val="center"/>
          </w:tcPr>
          <w:p w:rsidR="001C34B5" w:rsidRPr="00847DD5" w:rsidRDefault="001C34B5" w:rsidP="00FB4D49">
            <w:pPr>
              <w:rPr>
                <w:b/>
                <w:sz w:val="20"/>
                <w:szCs w:val="20"/>
              </w:rPr>
            </w:pPr>
            <w:r w:rsidRPr="00847DD5">
              <w:rPr>
                <w:b/>
                <w:sz w:val="20"/>
                <w:szCs w:val="20"/>
              </w:rPr>
              <w:t>Valoración de auditoría</w:t>
            </w:r>
          </w:p>
        </w:tc>
        <w:tc>
          <w:tcPr>
            <w:tcW w:w="8222" w:type="dxa"/>
            <w:gridSpan w:val="6"/>
            <w:vAlign w:val="center"/>
          </w:tcPr>
          <w:p w:rsidR="00B93D6F" w:rsidRDefault="00B17AA2" w:rsidP="0033635C">
            <w:r w:rsidRPr="001F5D74">
              <w:t>No se han presentado Quejas / Sugerencias procedentes tanto de los canales oficiales como de otras fuentes de información.</w:t>
            </w:r>
          </w:p>
        </w:tc>
      </w:tr>
    </w:tbl>
    <w:p w:rsidR="001C34B5" w:rsidRDefault="001C34B5" w:rsidP="001C34B5"/>
    <w:p w:rsidR="00B32B25" w:rsidRDefault="00B32B25" w:rsidP="00B32B25">
      <w:pPr>
        <w:rPr>
          <w:b/>
        </w:rPr>
      </w:pPr>
      <w:r w:rsidRPr="00A73438">
        <w:rPr>
          <w:b/>
        </w:rPr>
        <w:t>3.-</w:t>
      </w:r>
      <w:r>
        <w:rPr>
          <w:b/>
        </w:rPr>
        <w:t xml:space="preserve"> COMPROMISOS DE CALIDAD INCUMPLIDOS</w:t>
      </w:r>
    </w:p>
    <w:p w:rsidR="00B32B25" w:rsidRDefault="00B32B25" w:rsidP="00B32B25">
      <w:pPr>
        <w:rPr>
          <w:b/>
        </w:rPr>
      </w:pPr>
    </w:p>
    <w:p w:rsidR="00B32B25" w:rsidRDefault="00B32B25" w:rsidP="00B32B25">
      <w:r>
        <w:t>En el periodo auditado no ha procedido este objetivo de auditoría.</w:t>
      </w:r>
    </w:p>
    <w:p w:rsidR="00B32B25" w:rsidRDefault="00B32B25" w:rsidP="001C34B5"/>
    <w:p w:rsidR="001078E1" w:rsidRPr="00A73438" w:rsidRDefault="0042094A" w:rsidP="00C80C16">
      <w:pPr>
        <w:rPr>
          <w:b/>
        </w:rPr>
      </w:pPr>
      <w:r>
        <w:rPr>
          <w:b/>
        </w:rPr>
        <w:t>4</w:t>
      </w:r>
      <w:r w:rsidR="001078E1">
        <w:rPr>
          <w:b/>
        </w:rPr>
        <w:t>.- INSTRUCCIONES TÉCNICAS</w:t>
      </w:r>
      <w:r w:rsidR="00B93D6F">
        <w:rPr>
          <w:b/>
        </w:rPr>
        <w:t xml:space="preserve"> </w:t>
      </w:r>
      <w:r w:rsidR="00B93D6F" w:rsidRPr="00B93D6F">
        <w:rPr>
          <w:i/>
        </w:rPr>
        <w:t>(Solicitar al responsable las I.T., bien de forma previa a la auditoría o in situ)</w:t>
      </w:r>
    </w:p>
    <w:p w:rsidR="00B47ED3" w:rsidRDefault="00B47ED3"/>
    <w:tbl>
      <w:tblPr>
        <w:tblStyle w:val="Tablaconcuadrcula"/>
        <w:tblW w:w="0" w:type="auto"/>
        <w:tblLayout w:type="fixed"/>
        <w:tblLook w:val="04A0" w:firstRow="1" w:lastRow="0" w:firstColumn="1" w:lastColumn="0" w:noHBand="0" w:noVBand="1"/>
      </w:tblPr>
      <w:tblGrid>
        <w:gridCol w:w="2518"/>
        <w:gridCol w:w="4961"/>
        <w:gridCol w:w="638"/>
        <w:gridCol w:w="638"/>
        <w:gridCol w:w="1927"/>
      </w:tblGrid>
      <w:tr w:rsidR="001009B4" w:rsidTr="00020856">
        <w:trPr>
          <w:trHeight w:val="360"/>
        </w:trPr>
        <w:tc>
          <w:tcPr>
            <w:tcW w:w="2518" w:type="dxa"/>
            <w:vMerge w:val="restart"/>
            <w:shd w:val="clear" w:color="auto" w:fill="D9D9D9" w:themeFill="background1" w:themeFillShade="D9"/>
            <w:vAlign w:val="center"/>
          </w:tcPr>
          <w:p w:rsidR="001009B4" w:rsidRPr="00BF4A16" w:rsidRDefault="001009B4" w:rsidP="007227F8">
            <w:pPr>
              <w:rPr>
                <w:b/>
                <w:sz w:val="20"/>
                <w:szCs w:val="20"/>
              </w:rPr>
            </w:pPr>
            <w:r w:rsidRPr="00BF4A16">
              <w:rPr>
                <w:b/>
                <w:sz w:val="20"/>
                <w:szCs w:val="20"/>
              </w:rPr>
              <w:t>Instrucciones técnicas</w:t>
            </w:r>
          </w:p>
        </w:tc>
        <w:tc>
          <w:tcPr>
            <w:tcW w:w="4961" w:type="dxa"/>
            <w:vMerge w:val="restart"/>
            <w:vAlign w:val="center"/>
          </w:tcPr>
          <w:p w:rsidR="001009B4" w:rsidRPr="00BF4A16" w:rsidRDefault="001009B4" w:rsidP="007227F8">
            <w:pPr>
              <w:jc w:val="center"/>
              <w:rPr>
                <w:sz w:val="18"/>
                <w:szCs w:val="18"/>
              </w:rPr>
            </w:pPr>
            <w:r w:rsidRPr="00BF4A16">
              <w:rPr>
                <w:sz w:val="18"/>
                <w:szCs w:val="18"/>
              </w:rPr>
              <w:t>Auditoría (verificación): evidencias de conformidad de gestión</w:t>
            </w:r>
          </w:p>
        </w:tc>
        <w:tc>
          <w:tcPr>
            <w:tcW w:w="1276" w:type="dxa"/>
            <w:gridSpan w:val="2"/>
            <w:vAlign w:val="center"/>
          </w:tcPr>
          <w:p w:rsidR="001009B4" w:rsidRPr="00BF4A16" w:rsidRDefault="001009B4" w:rsidP="007227F8">
            <w:pPr>
              <w:jc w:val="center"/>
              <w:rPr>
                <w:sz w:val="18"/>
                <w:szCs w:val="18"/>
              </w:rPr>
            </w:pPr>
            <w:r w:rsidRPr="00BF4A16">
              <w:rPr>
                <w:sz w:val="18"/>
                <w:szCs w:val="18"/>
              </w:rPr>
              <w:t>Conformidad: adecuación de la gestión a la I.T.</w:t>
            </w:r>
          </w:p>
        </w:tc>
        <w:tc>
          <w:tcPr>
            <w:tcW w:w="1927" w:type="dxa"/>
            <w:vMerge w:val="restart"/>
            <w:vAlign w:val="center"/>
          </w:tcPr>
          <w:p w:rsidR="001009B4" w:rsidRPr="00BF4A16" w:rsidRDefault="001009B4" w:rsidP="007227F8">
            <w:pPr>
              <w:jc w:val="center"/>
              <w:rPr>
                <w:sz w:val="18"/>
                <w:szCs w:val="18"/>
              </w:rPr>
            </w:pPr>
            <w:r>
              <w:rPr>
                <w:sz w:val="18"/>
                <w:szCs w:val="18"/>
              </w:rPr>
              <w:t>Observaciones de auditoría</w:t>
            </w:r>
          </w:p>
        </w:tc>
      </w:tr>
      <w:tr w:rsidR="001009B4" w:rsidTr="00273BD5">
        <w:trPr>
          <w:trHeight w:val="300"/>
        </w:trPr>
        <w:tc>
          <w:tcPr>
            <w:tcW w:w="2518" w:type="dxa"/>
            <w:vMerge/>
            <w:shd w:val="clear" w:color="auto" w:fill="D9D9D9" w:themeFill="background1" w:themeFillShade="D9"/>
            <w:vAlign w:val="center"/>
          </w:tcPr>
          <w:p w:rsidR="001009B4" w:rsidRPr="00BF4A16" w:rsidRDefault="001009B4" w:rsidP="007227F8">
            <w:pPr>
              <w:rPr>
                <w:b/>
                <w:sz w:val="20"/>
                <w:szCs w:val="20"/>
              </w:rPr>
            </w:pPr>
          </w:p>
        </w:tc>
        <w:tc>
          <w:tcPr>
            <w:tcW w:w="4961" w:type="dxa"/>
            <w:vMerge/>
            <w:vAlign w:val="center"/>
          </w:tcPr>
          <w:p w:rsidR="001009B4" w:rsidRPr="00BF4A16" w:rsidRDefault="001009B4" w:rsidP="007227F8">
            <w:pPr>
              <w:jc w:val="center"/>
              <w:rPr>
                <w:sz w:val="18"/>
                <w:szCs w:val="18"/>
              </w:rPr>
            </w:pPr>
          </w:p>
        </w:tc>
        <w:tc>
          <w:tcPr>
            <w:tcW w:w="638" w:type="dxa"/>
            <w:vAlign w:val="center"/>
          </w:tcPr>
          <w:p w:rsidR="001009B4" w:rsidRPr="00CD70D6" w:rsidRDefault="001009B4" w:rsidP="007227F8">
            <w:pPr>
              <w:jc w:val="center"/>
              <w:rPr>
                <w:sz w:val="16"/>
                <w:szCs w:val="16"/>
              </w:rPr>
            </w:pPr>
            <w:r w:rsidRPr="00CD70D6">
              <w:rPr>
                <w:sz w:val="16"/>
                <w:szCs w:val="16"/>
              </w:rPr>
              <w:t>Sí</w:t>
            </w:r>
          </w:p>
        </w:tc>
        <w:tc>
          <w:tcPr>
            <w:tcW w:w="638" w:type="dxa"/>
            <w:vAlign w:val="center"/>
          </w:tcPr>
          <w:p w:rsidR="001009B4" w:rsidRPr="00CD70D6" w:rsidRDefault="001009B4" w:rsidP="007227F8">
            <w:pPr>
              <w:jc w:val="center"/>
              <w:rPr>
                <w:sz w:val="16"/>
                <w:szCs w:val="16"/>
              </w:rPr>
            </w:pPr>
            <w:r w:rsidRPr="00CD70D6">
              <w:rPr>
                <w:sz w:val="16"/>
                <w:szCs w:val="16"/>
              </w:rPr>
              <w:t>No</w:t>
            </w:r>
          </w:p>
        </w:tc>
        <w:tc>
          <w:tcPr>
            <w:tcW w:w="1927" w:type="dxa"/>
            <w:vMerge/>
            <w:vAlign w:val="center"/>
          </w:tcPr>
          <w:p w:rsidR="001009B4" w:rsidRPr="00BF4A16" w:rsidRDefault="001009B4" w:rsidP="007227F8">
            <w:pPr>
              <w:jc w:val="center"/>
              <w:rPr>
                <w:sz w:val="18"/>
                <w:szCs w:val="18"/>
              </w:rPr>
            </w:pPr>
          </w:p>
        </w:tc>
      </w:tr>
      <w:tr w:rsidR="001009B4" w:rsidTr="0033635C">
        <w:tc>
          <w:tcPr>
            <w:tcW w:w="2518" w:type="dxa"/>
            <w:shd w:val="clear" w:color="auto" w:fill="D9D9D9" w:themeFill="background1" w:themeFillShade="D9"/>
          </w:tcPr>
          <w:p w:rsidR="001009B4" w:rsidRDefault="001009B4" w:rsidP="007227F8">
            <w:pPr>
              <w:rPr>
                <w:sz w:val="18"/>
                <w:szCs w:val="18"/>
              </w:rPr>
            </w:pPr>
          </w:p>
          <w:p w:rsidR="00B93D6F" w:rsidRDefault="00B93D6F" w:rsidP="007227F8">
            <w:pPr>
              <w:rPr>
                <w:sz w:val="18"/>
                <w:szCs w:val="18"/>
              </w:rPr>
            </w:pPr>
          </w:p>
          <w:p w:rsidR="00B93D6F" w:rsidRDefault="00B93D6F" w:rsidP="007227F8">
            <w:pPr>
              <w:rPr>
                <w:sz w:val="18"/>
                <w:szCs w:val="18"/>
              </w:rPr>
            </w:pPr>
          </w:p>
          <w:p w:rsidR="00B93D6F" w:rsidRDefault="00B93D6F" w:rsidP="007227F8">
            <w:pPr>
              <w:rPr>
                <w:sz w:val="18"/>
                <w:szCs w:val="18"/>
              </w:rPr>
            </w:pPr>
          </w:p>
          <w:p w:rsidR="00B93D6F" w:rsidRDefault="00B93D6F" w:rsidP="007227F8">
            <w:pPr>
              <w:rPr>
                <w:sz w:val="18"/>
                <w:szCs w:val="18"/>
              </w:rPr>
            </w:pPr>
          </w:p>
          <w:p w:rsidR="00B93D6F" w:rsidRDefault="00B93D6F" w:rsidP="007227F8">
            <w:pPr>
              <w:rPr>
                <w:sz w:val="18"/>
                <w:szCs w:val="18"/>
              </w:rPr>
            </w:pPr>
          </w:p>
          <w:p w:rsidR="00B93D6F" w:rsidRDefault="00B93D6F" w:rsidP="007227F8">
            <w:pPr>
              <w:rPr>
                <w:sz w:val="18"/>
                <w:szCs w:val="18"/>
              </w:rPr>
            </w:pPr>
          </w:p>
          <w:p w:rsidR="00B93D6F" w:rsidRPr="00AA19EC" w:rsidRDefault="006D34C6" w:rsidP="007227F8">
            <w:pPr>
              <w:rPr>
                <w:sz w:val="18"/>
                <w:szCs w:val="18"/>
              </w:rPr>
            </w:pPr>
            <w:r>
              <w:rPr>
                <w:sz w:val="18"/>
                <w:szCs w:val="18"/>
              </w:rPr>
              <w:t>IT.[PC.08.2]-15</w:t>
            </w:r>
          </w:p>
        </w:tc>
        <w:tc>
          <w:tcPr>
            <w:tcW w:w="4961" w:type="dxa"/>
          </w:tcPr>
          <w:p w:rsidR="005923C7" w:rsidRDefault="005923C7" w:rsidP="005923C7">
            <w:pPr>
              <w:rPr>
                <w:sz w:val="18"/>
                <w:szCs w:val="18"/>
              </w:rPr>
            </w:pPr>
          </w:p>
          <w:p w:rsidR="009C5E1A" w:rsidRDefault="00D262E9" w:rsidP="005923C7">
            <w:pPr>
              <w:rPr>
                <w:sz w:val="18"/>
                <w:szCs w:val="18"/>
              </w:rPr>
            </w:pPr>
            <w:r w:rsidRPr="00B753BC">
              <w:rPr>
                <w:sz w:val="18"/>
                <w:szCs w:val="18"/>
              </w:rPr>
              <w:t>Se verifica la conformidad de gestión de la instrucción técnica a través de las siguientes actuaciones:</w:t>
            </w:r>
            <w:r>
              <w:rPr>
                <w:sz w:val="18"/>
                <w:szCs w:val="18"/>
              </w:rPr>
              <w:t xml:space="preserve">  </w:t>
            </w:r>
          </w:p>
          <w:p w:rsidR="00C1496D" w:rsidRDefault="00C1496D" w:rsidP="005923C7">
            <w:pPr>
              <w:rPr>
                <w:sz w:val="18"/>
                <w:szCs w:val="18"/>
              </w:rPr>
            </w:pPr>
          </w:p>
          <w:p w:rsidR="00D262E9" w:rsidRDefault="003A7BB0" w:rsidP="003A7BB0">
            <w:pPr>
              <w:pStyle w:val="Prrafodelista"/>
              <w:numPr>
                <w:ilvl w:val="0"/>
                <w:numId w:val="4"/>
              </w:numPr>
              <w:rPr>
                <w:sz w:val="18"/>
                <w:szCs w:val="18"/>
              </w:rPr>
            </w:pPr>
            <w:r>
              <w:rPr>
                <w:sz w:val="18"/>
                <w:szCs w:val="18"/>
              </w:rPr>
              <w:t>Solicitud de prácticas docentes programadas, con identificador 73544-</w:t>
            </w:r>
          </w:p>
          <w:p w:rsidR="000F69BC" w:rsidRDefault="000F69BC" w:rsidP="003A7BB0">
            <w:pPr>
              <w:pStyle w:val="Prrafodelista"/>
              <w:rPr>
                <w:sz w:val="18"/>
                <w:szCs w:val="18"/>
              </w:rPr>
            </w:pPr>
          </w:p>
          <w:p w:rsidR="003A7BB0" w:rsidRDefault="000F69BC" w:rsidP="003A7BB0">
            <w:pPr>
              <w:pStyle w:val="Prrafodelista"/>
              <w:rPr>
                <w:sz w:val="18"/>
                <w:szCs w:val="18"/>
              </w:rPr>
            </w:pPr>
            <w:r>
              <w:rPr>
                <w:sz w:val="18"/>
                <w:szCs w:val="18"/>
              </w:rPr>
              <w:t>A</w:t>
            </w:r>
            <w:r w:rsidR="003A7BB0">
              <w:rPr>
                <w:sz w:val="18"/>
                <w:szCs w:val="18"/>
              </w:rPr>
              <w:t>ctividad programada</w:t>
            </w:r>
            <w:r>
              <w:rPr>
                <w:sz w:val="18"/>
                <w:szCs w:val="18"/>
              </w:rPr>
              <w:t xml:space="preserve"> desde</w:t>
            </w:r>
            <w:r w:rsidR="003A7BB0">
              <w:rPr>
                <w:sz w:val="18"/>
                <w:szCs w:val="18"/>
              </w:rPr>
              <w:t xml:space="preserve"> el 02-03-2015</w:t>
            </w:r>
            <w:r>
              <w:rPr>
                <w:sz w:val="18"/>
                <w:szCs w:val="18"/>
              </w:rPr>
              <w:t>. Fecha solicita 19-03-2015. Fecha finalización 14-05-2015.</w:t>
            </w:r>
          </w:p>
          <w:p w:rsidR="000F69BC" w:rsidRDefault="000F69BC" w:rsidP="003A7BB0">
            <w:pPr>
              <w:pStyle w:val="Prrafodelista"/>
              <w:rPr>
                <w:sz w:val="18"/>
                <w:szCs w:val="18"/>
              </w:rPr>
            </w:pPr>
          </w:p>
          <w:p w:rsidR="003A7BB0" w:rsidRDefault="003A7BB0" w:rsidP="003A7BB0">
            <w:pPr>
              <w:pStyle w:val="Prrafodelista"/>
              <w:rPr>
                <w:sz w:val="18"/>
                <w:szCs w:val="18"/>
              </w:rPr>
            </w:pPr>
            <w:r>
              <w:rPr>
                <w:sz w:val="18"/>
                <w:szCs w:val="18"/>
              </w:rPr>
              <w:t>Se comprueba que en la misma fecha de la solicitud, 19-03-2015, se envía el reporte al usuario de la solicitud con la información del procedimiento.</w:t>
            </w:r>
          </w:p>
          <w:p w:rsidR="000F69BC" w:rsidRDefault="000F69BC" w:rsidP="003A7BB0">
            <w:pPr>
              <w:pStyle w:val="Prrafodelista"/>
              <w:rPr>
                <w:sz w:val="18"/>
                <w:szCs w:val="18"/>
              </w:rPr>
            </w:pPr>
          </w:p>
          <w:p w:rsidR="003A7BB0" w:rsidRDefault="003A7BB0" w:rsidP="003A7BB0">
            <w:pPr>
              <w:pStyle w:val="Prrafodelista"/>
              <w:rPr>
                <w:sz w:val="18"/>
                <w:szCs w:val="18"/>
              </w:rPr>
            </w:pPr>
            <w:r>
              <w:rPr>
                <w:sz w:val="18"/>
                <w:szCs w:val="18"/>
              </w:rPr>
              <w:t xml:space="preserve">Se verifica que en esta solicitud no ha existido ninguna </w:t>
            </w:r>
            <w:r>
              <w:rPr>
                <w:sz w:val="18"/>
                <w:szCs w:val="18"/>
              </w:rPr>
              <w:lastRenderedPageBreak/>
              <w:t>incidencia.</w:t>
            </w:r>
          </w:p>
          <w:p w:rsidR="000F69BC" w:rsidRDefault="000F69BC" w:rsidP="003A7BB0">
            <w:pPr>
              <w:pStyle w:val="Prrafodelista"/>
              <w:rPr>
                <w:sz w:val="18"/>
                <w:szCs w:val="18"/>
              </w:rPr>
            </w:pPr>
          </w:p>
          <w:p w:rsidR="003A7BB0" w:rsidRDefault="003A7BB0" w:rsidP="003A7BB0">
            <w:pPr>
              <w:pStyle w:val="Prrafodelista"/>
              <w:rPr>
                <w:sz w:val="18"/>
                <w:szCs w:val="18"/>
              </w:rPr>
            </w:pPr>
            <w:r>
              <w:rPr>
                <w:sz w:val="18"/>
                <w:szCs w:val="18"/>
              </w:rPr>
              <w:t xml:space="preserve">Por último se evidencia que la práctica puede ser evaluada por el solicitante con correo </w:t>
            </w:r>
            <w:r w:rsidR="000F69BC">
              <w:rPr>
                <w:sz w:val="18"/>
                <w:szCs w:val="18"/>
              </w:rPr>
              <w:t>electrónico</w:t>
            </w:r>
            <w:r>
              <w:rPr>
                <w:sz w:val="18"/>
                <w:szCs w:val="18"/>
              </w:rPr>
              <w:t xml:space="preserve"> de fecha 1</w:t>
            </w:r>
            <w:r w:rsidR="000F69BC">
              <w:rPr>
                <w:sz w:val="18"/>
                <w:szCs w:val="18"/>
              </w:rPr>
              <w:t>4</w:t>
            </w:r>
            <w:r>
              <w:rPr>
                <w:sz w:val="18"/>
                <w:szCs w:val="18"/>
              </w:rPr>
              <w:t>-0</w:t>
            </w:r>
            <w:r w:rsidR="000F69BC">
              <w:rPr>
                <w:sz w:val="18"/>
                <w:szCs w:val="18"/>
              </w:rPr>
              <w:t>5</w:t>
            </w:r>
            <w:r>
              <w:rPr>
                <w:sz w:val="18"/>
                <w:szCs w:val="18"/>
              </w:rPr>
              <w:t>-2015</w:t>
            </w:r>
            <w:r w:rsidR="000F69BC">
              <w:rPr>
                <w:sz w:val="18"/>
                <w:szCs w:val="18"/>
              </w:rPr>
              <w:t xml:space="preserve"> con el que se da por finalizado el servicio y se envía encuesta </w:t>
            </w:r>
            <w:proofErr w:type="spellStart"/>
            <w:r w:rsidR="000F69BC">
              <w:rPr>
                <w:sz w:val="18"/>
                <w:szCs w:val="18"/>
              </w:rPr>
              <w:t>postservicio</w:t>
            </w:r>
            <w:proofErr w:type="spellEnd"/>
            <w:r w:rsidR="000F69BC">
              <w:rPr>
                <w:sz w:val="18"/>
                <w:szCs w:val="18"/>
              </w:rPr>
              <w:t>.</w:t>
            </w:r>
          </w:p>
          <w:p w:rsidR="003A7BB0" w:rsidRDefault="003A7BB0" w:rsidP="003A7BB0">
            <w:pPr>
              <w:pStyle w:val="Prrafodelista"/>
              <w:rPr>
                <w:sz w:val="18"/>
                <w:szCs w:val="18"/>
              </w:rPr>
            </w:pPr>
          </w:p>
          <w:p w:rsidR="003A7BB0" w:rsidRDefault="003A7BB0" w:rsidP="003A7BB0">
            <w:pPr>
              <w:pStyle w:val="Prrafodelista"/>
              <w:rPr>
                <w:sz w:val="18"/>
                <w:szCs w:val="18"/>
              </w:rPr>
            </w:pPr>
          </w:p>
          <w:p w:rsidR="003A7BB0" w:rsidRDefault="003A7BB0" w:rsidP="003A7BB0">
            <w:pPr>
              <w:pStyle w:val="Prrafodelista"/>
              <w:numPr>
                <w:ilvl w:val="0"/>
                <w:numId w:val="4"/>
              </w:numPr>
              <w:rPr>
                <w:sz w:val="18"/>
                <w:szCs w:val="18"/>
              </w:rPr>
            </w:pPr>
            <w:r>
              <w:rPr>
                <w:sz w:val="18"/>
                <w:szCs w:val="18"/>
              </w:rPr>
              <w:t>Solicitud de prácticas docentes no programadas</w:t>
            </w:r>
            <w:r w:rsidR="000F69BC">
              <w:rPr>
                <w:sz w:val="18"/>
                <w:szCs w:val="18"/>
              </w:rPr>
              <w:t xml:space="preserve"> con identificador 75933</w:t>
            </w:r>
          </w:p>
          <w:p w:rsidR="000F69BC" w:rsidRDefault="000F69BC" w:rsidP="000F69BC">
            <w:pPr>
              <w:pStyle w:val="Prrafodelista"/>
              <w:rPr>
                <w:sz w:val="18"/>
                <w:szCs w:val="18"/>
              </w:rPr>
            </w:pPr>
          </w:p>
          <w:p w:rsidR="000F69BC" w:rsidRDefault="000F69BC" w:rsidP="000F69BC">
            <w:pPr>
              <w:pStyle w:val="Prrafodelista"/>
              <w:rPr>
                <w:sz w:val="18"/>
                <w:szCs w:val="18"/>
              </w:rPr>
            </w:pPr>
            <w:r>
              <w:rPr>
                <w:sz w:val="18"/>
                <w:szCs w:val="18"/>
              </w:rPr>
              <w:t>Fecha solicita 30-06-2015. Fecha finalización 30-06-2015.</w:t>
            </w:r>
          </w:p>
          <w:p w:rsidR="000F69BC" w:rsidRDefault="000F69BC" w:rsidP="000F69BC">
            <w:pPr>
              <w:pStyle w:val="Prrafodelista"/>
              <w:rPr>
                <w:sz w:val="18"/>
                <w:szCs w:val="18"/>
              </w:rPr>
            </w:pPr>
          </w:p>
          <w:p w:rsidR="000F69BC" w:rsidRDefault="000F69BC" w:rsidP="000F69BC">
            <w:pPr>
              <w:pStyle w:val="Prrafodelista"/>
              <w:rPr>
                <w:sz w:val="18"/>
                <w:szCs w:val="18"/>
              </w:rPr>
            </w:pPr>
            <w:r>
              <w:rPr>
                <w:sz w:val="18"/>
                <w:szCs w:val="18"/>
              </w:rPr>
              <w:t xml:space="preserve">Se solicitaba el </w:t>
            </w:r>
            <w:r w:rsidR="00C1496D">
              <w:rPr>
                <w:sz w:val="18"/>
                <w:szCs w:val="18"/>
              </w:rPr>
              <w:t xml:space="preserve">uso del </w:t>
            </w:r>
            <w:r>
              <w:rPr>
                <w:sz w:val="18"/>
                <w:szCs w:val="18"/>
              </w:rPr>
              <w:t>laboratorio para los días 1 y 2 de julio y se comprueba que el mismo día de la solicitud s</w:t>
            </w:r>
            <w:r w:rsidR="00C1496D">
              <w:rPr>
                <w:sz w:val="18"/>
                <w:szCs w:val="18"/>
              </w:rPr>
              <w:t>e realiza la reserva de espacios y</w:t>
            </w:r>
            <w:r>
              <w:rPr>
                <w:sz w:val="18"/>
                <w:szCs w:val="18"/>
              </w:rPr>
              <w:t xml:space="preserve"> se comunica al usuario por correo electrónico</w:t>
            </w:r>
            <w:r w:rsidR="00C1496D">
              <w:rPr>
                <w:sz w:val="18"/>
                <w:szCs w:val="18"/>
              </w:rPr>
              <w:t xml:space="preserve">; al no requerir más servicios la solicitud se da por finalizado el servicio y se comunica al solicitante el 30-06-2015 por correo </w:t>
            </w:r>
            <w:proofErr w:type="spellStart"/>
            <w:r w:rsidR="00C1496D">
              <w:rPr>
                <w:sz w:val="18"/>
                <w:szCs w:val="18"/>
              </w:rPr>
              <w:t>elctrónico</w:t>
            </w:r>
            <w:proofErr w:type="spellEnd"/>
            <w:r w:rsidR="00C1496D">
              <w:rPr>
                <w:sz w:val="18"/>
                <w:szCs w:val="18"/>
              </w:rPr>
              <w:t>.</w:t>
            </w:r>
          </w:p>
          <w:p w:rsidR="000F69BC" w:rsidRDefault="000F69BC" w:rsidP="000F69BC">
            <w:pPr>
              <w:pStyle w:val="Prrafodelista"/>
              <w:rPr>
                <w:sz w:val="18"/>
                <w:szCs w:val="18"/>
              </w:rPr>
            </w:pPr>
          </w:p>
          <w:p w:rsidR="000F69BC" w:rsidRDefault="000F69BC" w:rsidP="000F69BC">
            <w:pPr>
              <w:pStyle w:val="Prrafodelista"/>
              <w:rPr>
                <w:sz w:val="18"/>
                <w:szCs w:val="18"/>
              </w:rPr>
            </w:pPr>
          </w:p>
          <w:p w:rsidR="000F69BC" w:rsidRPr="003A7BB0" w:rsidRDefault="000F69BC" w:rsidP="000F69BC">
            <w:pPr>
              <w:pStyle w:val="Prrafodelista"/>
              <w:rPr>
                <w:sz w:val="18"/>
                <w:szCs w:val="18"/>
              </w:rPr>
            </w:pPr>
          </w:p>
        </w:tc>
        <w:tc>
          <w:tcPr>
            <w:tcW w:w="638" w:type="dxa"/>
            <w:shd w:val="clear" w:color="auto" w:fill="92D050"/>
            <w:vAlign w:val="center"/>
          </w:tcPr>
          <w:p w:rsidR="001009B4" w:rsidRPr="0033635C" w:rsidRDefault="00C1496D" w:rsidP="005923C7">
            <w:pPr>
              <w:jc w:val="center"/>
              <w:rPr>
                <w:b/>
                <w:sz w:val="40"/>
                <w:szCs w:val="18"/>
              </w:rPr>
            </w:pPr>
            <w:r w:rsidRPr="0033635C">
              <w:rPr>
                <w:b/>
                <w:sz w:val="40"/>
                <w:szCs w:val="18"/>
              </w:rPr>
              <w:lastRenderedPageBreak/>
              <w:t>X</w:t>
            </w:r>
          </w:p>
        </w:tc>
        <w:tc>
          <w:tcPr>
            <w:tcW w:w="638" w:type="dxa"/>
            <w:vAlign w:val="center"/>
          </w:tcPr>
          <w:p w:rsidR="001009B4" w:rsidRPr="00BF4A16" w:rsidRDefault="001009B4" w:rsidP="007227F8">
            <w:pPr>
              <w:rPr>
                <w:sz w:val="18"/>
                <w:szCs w:val="18"/>
              </w:rPr>
            </w:pPr>
          </w:p>
        </w:tc>
        <w:tc>
          <w:tcPr>
            <w:tcW w:w="1927" w:type="dxa"/>
            <w:vAlign w:val="center"/>
          </w:tcPr>
          <w:p w:rsidR="001009B4" w:rsidRPr="00BF4A16" w:rsidRDefault="001009B4" w:rsidP="007227F8">
            <w:pPr>
              <w:rPr>
                <w:sz w:val="18"/>
                <w:szCs w:val="18"/>
              </w:rPr>
            </w:pPr>
          </w:p>
        </w:tc>
      </w:tr>
      <w:tr w:rsidR="001009B4" w:rsidTr="007227F8">
        <w:trPr>
          <w:trHeight w:val="857"/>
        </w:trPr>
        <w:tc>
          <w:tcPr>
            <w:tcW w:w="2518" w:type="dxa"/>
            <w:shd w:val="clear" w:color="auto" w:fill="D9D9D9" w:themeFill="background1" w:themeFillShade="D9"/>
            <w:vAlign w:val="center"/>
          </w:tcPr>
          <w:p w:rsidR="001009B4" w:rsidRPr="00BF4A16" w:rsidRDefault="001009B4" w:rsidP="007227F8">
            <w:pPr>
              <w:rPr>
                <w:b/>
                <w:sz w:val="20"/>
                <w:szCs w:val="20"/>
              </w:rPr>
            </w:pPr>
            <w:r w:rsidRPr="00BF4A16">
              <w:rPr>
                <w:b/>
                <w:sz w:val="20"/>
                <w:szCs w:val="20"/>
              </w:rPr>
              <w:lastRenderedPageBreak/>
              <w:t>Valoración de auditoría</w:t>
            </w:r>
          </w:p>
        </w:tc>
        <w:tc>
          <w:tcPr>
            <w:tcW w:w="8164" w:type="dxa"/>
            <w:gridSpan w:val="4"/>
            <w:vAlign w:val="center"/>
          </w:tcPr>
          <w:p w:rsidR="001009B4" w:rsidRDefault="001009B4" w:rsidP="007227F8"/>
          <w:p w:rsidR="00822F18" w:rsidRDefault="00822F18" w:rsidP="00822F18">
            <w:r w:rsidRPr="00B753BC">
              <w:t xml:space="preserve">De la constatación de las evidencias auditadas, </w:t>
            </w:r>
            <w:r>
              <w:t xml:space="preserve">se valora favorablemente la </w:t>
            </w:r>
            <w:r w:rsidRPr="00B753BC">
              <w:t xml:space="preserve">conformidad de la gestión </w:t>
            </w:r>
            <w:r>
              <w:t>con lo dispuesto en</w:t>
            </w:r>
            <w:r w:rsidRPr="00B753BC">
              <w:t xml:space="preserve"> las Instrucciones Técnicas</w:t>
            </w:r>
            <w:r>
              <w:t>,</w:t>
            </w:r>
            <w:r w:rsidRPr="00B753BC">
              <w:t xml:space="preserve"> según la documentación de los procesos y objetivos del Programa de auditoría interna de seguimiento 2015</w:t>
            </w:r>
            <w:r>
              <w:t>.</w:t>
            </w:r>
          </w:p>
          <w:p w:rsidR="001009B4" w:rsidRDefault="001009B4" w:rsidP="009C5E1A"/>
        </w:tc>
      </w:tr>
    </w:tbl>
    <w:p w:rsidR="001009B4" w:rsidRDefault="001009B4"/>
    <w:p w:rsidR="00245BF4" w:rsidRPr="00B93D6F" w:rsidRDefault="00245BF4" w:rsidP="00245BF4">
      <w:pPr>
        <w:rPr>
          <w:i/>
        </w:rPr>
      </w:pPr>
      <w:r>
        <w:rPr>
          <w:b/>
        </w:rPr>
        <w:t>5.- FORMATOS</w:t>
      </w:r>
      <w:r w:rsidR="00B93D6F">
        <w:rPr>
          <w:b/>
        </w:rPr>
        <w:t xml:space="preserve"> </w:t>
      </w:r>
      <w:r w:rsidR="00B93D6F" w:rsidRPr="00B93D6F">
        <w:rPr>
          <w:i/>
        </w:rPr>
        <w:t>(</w:t>
      </w:r>
      <w:r w:rsidR="00B93D6F">
        <w:rPr>
          <w:i/>
        </w:rPr>
        <w:t>S</w:t>
      </w:r>
      <w:r w:rsidR="00B93D6F" w:rsidRPr="00B93D6F">
        <w:rPr>
          <w:i/>
        </w:rPr>
        <w:t>eleccionar dos formatos de los disponibles en la unidad)</w:t>
      </w:r>
    </w:p>
    <w:p w:rsidR="0022509F" w:rsidRDefault="0022509F"/>
    <w:tbl>
      <w:tblPr>
        <w:tblStyle w:val="Tablaconcuadrcula"/>
        <w:tblW w:w="0" w:type="auto"/>
        <w:tblLayout w:type="fixed"/>
        <w:tblLook w:val="04A0" w:firstRow="1" w:lastRow="0" w:firstColumn="1" w:lastColumn="0" w:noHBand="0" w:noVBand="1"/>
      </w:tblPr>
      <w:tblGrid>
        <w:gridCol w:w="2518"/>
        <w:gridCol w:w="4961"/>
        <w:gridCol w:w="638"/>
        <w:gridCol w:w="638"/>
        <w:gridCol w:w="1927"/>
      </w:tblGrid>
      <w:tr w:rsidR="00245BF4" w:rsidTr="001D0752">
        <w:trPr>
          <w:trHeight w:val="360"/>
        </w:trPr>
        <w:tc>
          <w:tcPr>
            <w:tcW w:w="2518" w:type="dxa"/>
            <w:vMerge w:val="restart"/>
            <w:shd w:val="clear" w:color="auto" w:fill="D9D9D9" w:themeFill="background1" w:themeFillShade="D9"/>
            <w:vAlign w:val="center"/>
          </w:tcPr>
          <w:p w:rsidR="00245BF4" w:rsidRPr="00BF4A16" w:rsidRDefault="00717F2D" w:rsidP="001D0752">
            <w:pPr>
              <w:rPr>
                <w:b/>
                <w:sz w:val="20"/>
                <w:szCs w:val="20"/>
              </w:rPr>
            </w:pPr>
            <w:r>
              <w:rPr>
                <w:b/>
                <w:sz w:val="20"/>
                <w:szCs w:val="20"/>
              </w:rPr>
              <w:t>Formatos</w:t>
            </w:r>
          </w:p>
        </w:tc>
        <w:tc>
          <w:tcPr>
            <w:tcW w:w="4961" w:type="dxa"/>
            <w:vMerge w:val="restart"/>
            <w:vAlign w:val="center"/>
          </w:tcPr>
          <w:p w:rsidR="00245BF4" w:rsidRPr="00BF4A16" w:rsidRDefault="00245BF4" w:rsidP="00717F2D">
            <w:pPr>
              <w:jc w:val="center"/>
              <w:rPr>
                <w:sz w:val="18"/>
                <w:szCs w:val="18"/>
              </w:rPr>
            </w:pPr>
            <w:r w:rsidRPr="00BF4A16">
              <w:rPr>
                <w:sz w:val="18"/>
                <w:szCs w:val="18"/>
              </w:rPr>
              <w:t xml:space="preserve">Auditoría (verificación): </w:t>
            </w:r>
            <w:r w:rsidR="00717F2D">
              <w:rPr>
                <w:sz w:val="18"/>
                <w:szCs w:val="18"/>
              </w:rPr>
              <w:t>adecuación de los formatos a los registros que soportan</w:t>
            </w:r>
          </w:p>
        </w:tc>
        <w:tc>
          <w:tcPr>
            <w:tcW w:w="1276" w:type="dxa"/>
            <w:gridSpan w:val="2"/>
            <w:vAlign w:val="center"/>
          </w:tcPr>
          <w:p w:rsidR="00245BF4" w:rsidRPr="00BF4A16" w:rsidRDefault="00245BF4" w:rsidP="00717F2D">
            <w:pPr>
              <w:jc w:val="center"/>
              <w:rPr>
                <w:sz w:val="18"/>
                <w:szCs w:val="18"/>
              </w:rPr>
            </w:pPr>
            <w:r w:rsidRPr="00BF4A16">
              <w:rPr>
                <w:sz w:val="18"/>
                <w:szCs w:val="18"/>
              </w:rPr>
              <w:t xml:space="preserve">Conformidad: adecuación </w:t>
            </w:r>
            <w:r w:rsidR="00717F2D">
              <w:rPr>
                <w:sz w:val="18"/>
                <w:szCs w:val="18"/>
              </w:rPr>
              <w:t xml:space="preserve"> de formatos</w:t>
            </w:r>
          </w:p>
        </w:tc>
        <w:tc>
          <w:tcPr>
            <w:tcW w:w="1927" w:type="dxa"/>
            <w:vMerge w:val="restart"/>
            <w:vAlign w:val="center"/>
          </w:tcPr>
          <w:p w:rsidR="00245BF4" w:rsidRPr="00BF4A16" w:rsidRDefault="00245BF4" w:rsidP="001D0752">
            <w:pPr>
              <w:jc w:val="center"/>
              <w:rPr>
                <w:sz w:val="18"/>
                <w:szCs w:val="18"/>
              </w:rPr>
            </w:pPr>
            <w:r>
              <w:rPr>
                <w:sz w:val="18"/>
                <w:szCs w:val="18"/>
              </w:rPr>
              <w:t>Observaciones de auditoría</w:t>
            </w:r>
          </w:p>
        </w:tc>
      </w:tr>
      <w:tr w:rsidR="00245BF4" w:rsidTr="001D0752">
        <w:trPr>
          <w:trHeight w:val="300"/>
        </w:trPr>
        <w:tc>
          <w:tcPr>
            <w:tcW w:w="2518" w:type="dxa"/>
            <w:vMerge/>
            <w:shd w:val="clear" w:color="auto" w:fill="D9D9D9" w:themeFill="background1" w:themeFillShade="D9"/>
            <w:vAlign w:val="center"/>
          </w:tcPr>
          <w:p w:rsidR="00245BF4" w:rsidRPr="00BF4A16" w:rsidRDefault="00245BF4" w:rsidP="001D0752">
            <w:pPr>
              <w:rPr>
                <w:b/>
                <w:sz w:val="20"/>
                <w:szCs w:val="20"/>
              </w:rPr>
            </w:pPr>
          </w:p>
        </w:tc>
        <w:tc>
          <w:tcPr>
            <w:tcW w:w="4961" w:type="dxa"/>
            <w:vMerge/>
            <w:vAlign w:val="center"/>
          </w:tcPr>
          <w:p w:rsidR="00245BF4" w:rsidRPr="00BF4A16" w:rsidRDefault="00245BF4" w:rsidP="001D0752">
            <w:pPr>
              <w:jc w:val="center"/>
              <w:rPr>
                <w:sz w:val="18"/>
                <w:szCs w:val="18"/>
              </w:rPr>
            </w:pPr>
          </w:p>
        </w:tc>
        <w:tc>
          <w:tcPr>
            <w:tcW w:w="638" w:type="dxa"/>
            <w:vAlign w:val="center"/>
          </w:tcPr>
          <w:p w:rsidR="00245BF4" w:rsidRPr="00CD70D6" w:rsidRDefault="00245BF4" w:rsidP="001D0752">
            <w:pPr>
              <w:jc w:val="center"/>
              <w:rPr>
                <w:sz w:val="16"/>
                <w:szCs w:val="16"/>
              </w:rPr>
            </w:pPr>
            <w:r w:rsidRPr="00CD70D6">
              <w:rPr>
                <w:sz w:val="16"/>
                <w:szCs w:val="16"/>
              </w:rPr>
              <w:t>Sí</w:t>
            </w:r>
          </w:p>
        </w:tc>
        <w:tc>
          <w:tcPr>
            <w:tcW w:w="638" w:type="dxa"/>
            <w:vAlign w:val="center"/>
          </w:tcPr>
          <w:p w:rsidR="00245BF4" w:rsidRPr="00CD70D6" w:rsidRDefault="00245BF4" w:rsidP="001D0752">
            <w:pPr>
              <w:jc w:val="center"/>
              <w:rPr>
                <w:sz w:val="16"/>
                <w:szCs w:val="16"/>
              </w:rPr>
            </w:pPr>
            <w:r w:rsidRPr="00CD70D6">
              <w:rPr>
                <w:sz w:val="16"/>
                <w:szCs w:val="16"/>
              </w:rPr>
              <w:t>No</w:t>
            </w:r>
          </w:p>
        </w:tc>
        <w:tc>
          <w:tcPr>
            <w:tcW w:w="1927" w:type="dxa"/>
            <w:vMerge/>
            <w:vAlign w:val="center"/>
          </w:tcPr>
          <w:p w:rsidR="00245BF4" w:rsidRPr="00BF4A16" w:rsidRDefault="00245BF4" w:rsidP="001D0752">
            <w:pPr>
              <w:jc w:val="center"/>
              <w:rPr>
                <w:sz w:val="18"/>
                <w:szCs w:val="18"/>
              </w:rPr>
            </w:pPr>
          </w:p>
        </w:tc>
      </w:tr>
      <w:tr w:rsidR="00245BF4" w:rsidTr="0033635C">
        <w:tc>
          <w:tcPr>
            <w:tcW w:w="2518" w:type="dxa"/>
            <w:shd w:val="clear" w:color="auto" w:fill="D9D9D9" w:themeFill="background1" w:themeFillShade="D9"/>
            <w:vAlign w:val="center"/>
          </w:tcPr>
          <w:p w:rsidR="00245BF4" w:rsidRPr="00AA19EC" w:rsidRDefault="003B4E6F" w:rsidP="0033635C">
            <w:pPr>
              <w:rPr>
                <w:sz w:val="18"/>
                <w:szCs w:val="18"/>
              </w:rPr>
            </w:pPr>
            <w:r>
              <w:rPr>
                <w:sz w:val="18"/>
                <w:szCs w:val="18"/>
              </w:rPr>
              <w:t>F.[PC.08.2]-08</w:t>
            </w:r>
            <w:r w:rsidR="0033635C">
              <w:rPr>
                <w:sz w:val="18"/>
                <w:szCs w:val="18"/>
              </w:rPr>
              <w:t xml:space="preserve"> </w:t>
            </w:r>
            <w:r w:rsidR="0033635C" w:rsidRPr="0033635C">
              <w:rPr>
                <w:sz w:val="18"/>
                <w:szCs w:val="18"/>
              </w:rPr>
              <w:t>Solicitud Electrónica de Apoyo</w:t>
            </w:r>
            <w:r w:rsidR="0033635C">
              <w:rPr>
                <w:sz w:val="18"/>
                <w:szCs w:val="18"/>
              </w:rPr>
              <w:t xml:space="preserve"> </w:t>
            </w:r>
            <w:r w:rsidR="0033635C" w:rsidRPr="0033635C">
              <w:rPr>
                <w:sz w:val="18"/>
                <w:szCs w:val="18"/>
              </w:rPr>
              <w:t>Científico-Técnico a la Docencia y a</w:t>
            </w:r>
            <w:r w:rsidR="0033635C">
              <w:rPr>
                <w:sz w:val="18"/>
                <w:szCs w:val="18"/>
              </w:rPr>
              <w:t xml:space="preserve"> </w:t>
            </w:r>
            <w:r w:rsidR="0033635C" w:rsidRPr="0033635C">
              <w:rPr>
                <w:sz w:val="18"/>
                <w:szCs w:val="18"/>
              </w:rPr>
              <w:t>la Investigación</w:t>
            </w:r>
          </w:p>
        </w:tc>
        <w:tc>
          <w:tcPr>
            <w:tcW w:w="4961" w:type="dxa"/>
            <w:vAlign w:val="center"/>
          </w:tcPr>
          <w:p w:rsidR="00B93D6F" w:rsidRPr="00BF4A16" w:rsidRDefault="003B4E6F" w:rsidP="0033635C">
            <w:pPr>
              <w:rPr>
                <w:sz w:val="18"/>
                <w:szCs w:val="18"/>
              </w:rPr>
            </w:pPr>
            <w:r>
              <w:rPr>
                <w:sz w:val="18"/>
                <w:szCs w:val="18"/>
              </w:rPr>
              <w:t>Se verifica formato en la plataforma PETRUS y mediante la solicitud 75933 se verifica la adecuación del formato a los registros que lo soportan.</w:t>
            </w:r>
          </w:p>
        </w:tc>
        <w:tc>
          <w:tcPr>
            <w:tcW w:w="638" w:type="dxa"/>
            <w:shd w:val="clear" w:color="auto" w:fill="92D050"/>
            <w:vAlign w:val="center"/>
          </w:tcPr>
          <w:p w:rsidR="00245BF4" w:rsidRPr="0033635C" w:rsidRDefault="003B4E6F" w:rsidP="0033635C">
            <w:pPr>
              <w:jc w:val="center"/>
              <w:rPr>
                <w:b/>
                <w:sz w:val="36"/>
                <w:szCs w:val="18"/>
              </w:rPr>
            </w:pPr>
            <w:r w:rsidRPr="0033635C">
              <w:rPr>
                <w:b/>
                <w:sz w:val="40"/>
                <w:szCs w:val="18"/>
              </w:rPr>
              <w:t>X</w:t>
            </w:r>
          </w:p>
        </w:tc>
        <w:tc>
          <w:tcPr>
            <w:tcW w:w="638" w:type="dxa"/>
            <w:vAlign w:val="center"/>
          </w:tcPr>
          <w:p w:rsidR="00245BF4" w:rsidRPr="00BF4A16" w:rsidRDefault="00245BF4" w:rsidP="0033635C">
            <w:pPr>
              <w:jc w:val="center"/>
              <w:rPr>
                <w:sz w:val="18"/>
                <w:szCs w:val="18"/>
              </w:rPr>
            </w:pPr>
          </w:p>
        </w:tc>
        <w:tc>
          <w:tcPr>
            <w:tcW w:w="1927" w:type="dxa"/>
            <w:vAlign w:val="center"/>
          </w:tcPr>
          <w:p w:rsidR="00245BF4" w:rsidRPr="00BF4A16" w:rsidRDefault="00245BF4" w:rsidP="001D0752">
            <w:pPr>
              <w:rPr>
                <w:sz w:val="18"/>
                <w:szCs w:val="18"/>
              </w:rPr>
            </w:pPr>
          </w:p>
        </w:tc>
      </w:tr>
      <w:tr w:rsidR="00245BF4" w:rsidTr="0033635C">
        <w:tc>
          <w:tcPr>
            <w:tcW w:w="2518" w:type="dxa"/>
            <w:shd w:val="clear" w:color="auto" w:fill="D9D9D9" w:themeFill="background1" w:themeFillShade="D9"/>
            <w:vAlign w:val="center"/>
          </w:tcPr>
          <w:p w:rsidR="00245BF4" w:rsidRPr="00AA19EC" w:rsidRDefault="003B4E6F" w:rsidP="0033635C">
            <w:pPr>
              <w:rPr>
                <w:sz w:val="18"/>
                <w:szCs w:val="18"/>
              </w:rPr>
            </w:pPr>
            <w:r>
              <w:rPr>
                <w:sz w:val="18"/>
                <w:szCs w:val="18"/>
              </w:rPr>
              <w:t>F.[PC.08.2]-12</w:t>
            </w:r>
            <w:r w:rsidR="0033635C">
              <w:rPr>
                <w:sz w:val="18"/>
                <w:szCs w:val="18"/>
              </w:rPr>
              <w:t xml:space="preserve"> </w:t>
            </w:r>
            <w:r w:rsidR="0033635C" w:rsidRPr="0033635C">
              <w:rPr>
                <w:sz w:val="18"/>
                <w:szCs w:val="18"/>
              </w:rPr>
              <w:t>Comunicación Electrónica de</w:t>
            </w:r>
            <w:r w:rsidR="0033635C">
              <w:rPr>
                <w:sz w:val="18"/>
                <w:szCs w:val="18"/>
              </w:rPr>
              <w:t xml:space="preserve"> </w:t>
            </w:r>
            <w:r w:rsidR="0033635C" w:rsidRPr="0033635C">
              <w:rPr>
                <w:sz w:val="18"/>
                <w:szCs w:val="18"/>
              </w:rPr>
              <w:t>Incidencias en equipos de Docencia</w:t>
            </w:r>
            <w:r w:rsidR="0033635C">
              <w:rPr>
                <w:sz w:val="18"/>
                <w:szCs w:val="18"/>
              </w:rPr>
              <w:t xml:space="preserve"> </w:t>
            </w:r>
            <w:r w:rsidR="0033635C" w:rsidRPr="0033635C">
              <w:rPr>
                <w:sz w:val="18"/>
                <w:szCs w:val="18"/>
              </w:rPr>
              <w:t>e Investigación</w:t>
            </w:r>
          </w:p>
        </w:tc>
        <w:tc>
          <w:tcPr>
            <w:tcW w:w="4961" w:type="dxa"/>
            <w:vAlign w:val="center"/>
          </w:tcPr>
          <w:p w:rsidR="00245BF4" w:rsidRPr="00BF4A16" w:rsidRDefault="003B4E6F" w:rsidP="0033635C">
            <w:pPr>
              <w:rPr>
                <w:sz w:val="18"/>
                <w:szCs w:val="18"/>
              </w:rPr>
            </w:pPr>
            <w:r w:rsidRPr="003B4E6F">
              <w:rPr>
                <w:sz w:val="18"/>
                <w:szCs w:val="18"/>
              </w:rPr>
              <w:t>Este formato hace referencia a la respuesta a otros formatos. No se puede verificar la existencia de este formato.</w:t>
            </w:r>
          </w:p>
        </w:tc>
        <w:tc>
          <w:tcPr>
            <w:tcW w:w="638" w:type="dxa"/>
            <w:vAlign w:val="center"/>
          </w:tcPr>
          <w:p w:rsidR="00245BF4" w:rsidRPr="00BF4A16" w:rsidRDefault="00245BF4" w:rsidP="0033635C">
            <w:pPr>
              <w:jc w:val="center"/>
              <w:rPr>
                <w:sz w:val="18"/>
                <w:szCs w:val="18"/>
              </w:rPr>
            </w:pPr>
          </w:p>
        </w:tc>
        <w:tc>
          <w:tcPr>
            <w:tcW w:w="638" w:type="dxa"/>
            <w:shd w:val="clear" w:color="auto" w:fill="FF0000"/>
            <w:vAlign w:val="center"/>
          </w:tcPr>
          <w:p w:rsidR="00245BF4" w:rsidRPr="0033635C" w:rsidRDefault="003B4E6F" w:rsidP="0033635C">
            <w:pPr>
              <w:jc w:val="center"/>
              <w:rPr>
                <w:b/>
                <w:sz w:val="18"/>
                <w:szCs w:val="18"/>
              </w:rPr>
            </w:pPr>
            <w:r w:rsidRPr="0033635C">
              <w:rPr>
                <w:b/>
                <w:sz w:val="40"/>
                <w:szCs w:val="18"/>
              </w:rPr>
              <w:t>X</w:t>
            </w:r>
          </w:p>
        </w:tc>
        <w:tc>
          <w:tcPr>
            <w:tcW w:w="1927" w:type="dxa"/>
            <w:vAlign w:val="center"/>
          </w:tcPr>
          <w:p w:rsidR="00245BF4" w:rsidRPr="00BF4A16" w:rsidRDefault="003B4E6F" w:rsidP="001D0752">
            <w:pPr>
              <w:rPr>
                <w:sz w:val="18"/>
                <w:szCs w:val="18"/>
              </w:rPr>
            </w:pPr>
            <w:r>
              <w:rPr>
                <w:sz w:val="18"/>
                <w:szCs w:val="18"/>
              </w:rPr>
              <w:t>Se comunica al auditor que los formatos a los que hace referencia no existen y no son de la Unidad, por tanto no conocen a que se refiere este formato.</w:t>
            </w:r>
          </w:p>
        </w:tc>
      </w:tr>
      <w:tr w:rsidR="00245BF4" w:rsidTr="0033635C">
        <w:trPr>
          <w:trHeight w:val="1137"/>
        </w:trPr>
        <w:tc>
          <w:tcPr>
            <w:tcW w:w="2518" w:type="dxa"/>
            <w:shd w:val="clear" w:color="auto" w:fill="D9D9D9" w:themeFill="background1" w:themeFillShade="D9"/>
            <w:vAlign w:val="center"/>
          </w:tcPr>
          <w:p w:rsidR="00245BF4" w:rsidRPr="00BF4A16" w:rsidRDefault="00245BF4" w:rsidP="0033635C">
            <w:pPr>
              <w:rPr>
                <w:b/>
                <w:sz w:val="20"/>
                <w:szCs w:val="20"/>
              </w:rPr>
            </w:pPr>
            <w:r w:rsidRPr="00BF4A16">
              <w:rPr>
                <w:b/>
                <w:sz w:val="20"/>
                <w:szCs w:val="20"/>
              </w:rPr>
              <w:t>Valoración de auditoría</w:t>
            </w:r>
          </w:p>
        </w:tc>
        <w:tc>
          <w:tcPr>
            <w:tcW w:w="8164" w:type="dxa"/>
            <w:gridSpan w:val="4"/>
            <w:vAlign w:val="center"/>
          </w:tcPr>
          <w:p w:rsidR="00245BF4" w:rsidRDefault="003B4E6F" w:rsidP="001D0752">
            <w:pPr>
              <w:rPr>
                <w:sz w:val="20"/>
              </w:rPr>
            </w:pPr>
            <w:r w:rsidRPr="00C2210F">
              <w:rPr>
                <w:sz w:val="20"/>
              </w:rPr>
              <w:t xml:space="preserve">Sólo se puede verificar parcialmente la </w:t>
            </w:r>
            <w:r w:rsidR="00EC7B36" w:rsidRPr="00C2210F">
              <w:rPr>
                <w:sz w:val="20"/>
              </w:rPr>
              <w:t>adecuación</w:t>
            </w:r>
            <w:r w:rsidRPr="00C2210F">
              <w:rPr>
                <w:sz w:val="20"/>
              </w:rPr>
              <w:t xml:space="preserve"> de los formatos a los registros que lo soportan, que en todas los casos se </w:t>
            </w:r>
            <w:r w:rsidR="00EC7B36" w:rsidRPr="00C2210F">
              <w:rPr>
                <w:sz w:val="20"/>
              </w:rPr>
              <w:t>r</w:t>
            </w:r>
            <w:r w:rsidRPr="00C2210F">
              <w:rPr>
                <w:sz w:val="20"/>
              </w:rPr>
              <w:t>e</w:t>
            </w:r>
            <w:r w:rsidR="00EC7B36" w:rsidRPr="00C2210F">
              <w:rPr>
                <w:sz w:val="20"/>
              </w:rPr>
              <w:t>c</w:t>
            </w:r>
            <w:r w:rsidRPr="00C2210F">
              <w:rPr>
                <w:sz w:val="20"/>
              </w:rPr>
              <w:t>ogen en la plataforma PETRUS</w:t>
            </w:r>
            <w:r w:rsidR="00EC7B36" w:rsidRPr="00C2210F">
              <w:rPr>
                <w:sz w:val="20"/>
              </w:rPr>
              <w:t>.</w:t>
            </w:r>
          </w:p>
          <w:p w:rsidR="00C2210F" w:rsidRPr="00C2210F" w:rsidRDefault="00C2210F" w:rsidP="001D0752">
            <w:pPr>
              <w:rPr>
                <w:sz w:val="20"/>
              </w:rPr>
            </w:pPr>
          </w:p>
          <w:p w:rsidR="00097032" w:rsidRDefault="00097032" w:rsidP="0033635C">
            <w:r w:rsidRPr="00C2210F">
              <w:rPr>
                <w:sz w:val="20"/>
              </w:rPr>
              <w:t xml:space="preserve">Según la propia unidad, hay formatos que no existen y otros están obsoletos por lo que se </w:t>
            </w:r>
            <w:r w:rsidR="0033635C" w:rsidRPr="00C2210F">
              <w:rPr>
                <w:sz w:val="20"/>
              </w:rPr>
              <w:t xml:space="preserve">recomienda </w:t>
            </w:r>
            <w:r w:rsidRPr="00C2210F">
              <w:rPr>
                <w:sz w:val="20"/>
              </w:rPr>
              <w:t>a la unidad que revise la documentación de los formatos al objeto de mantener el sistema actualizado.</w:t>
            </w:r>
          </w:p>
        </w:tc>
      </w:tr>
    </w:tbl>
    <w:p w:rsidR="0022509F" w:rsidRDefault="0022509F"/>
    <w:p w:rsidR="00B93D6F" w:rsidRDefault="00B93D6F" w:rsidP="00B94000">
      <w:pPr>
        <w:rPr>
          <w:b/>
        </w:rPr>
      </w:pPr>
    </w:p>
    <w:p w:rsidR="00B93D6F" w:rsidRDefault="00B93D6F">
      <w:pPr>
        <w:spacing w:after="200"/>
        <w:rPr>
          <w:b/>
        </w:rPr>
      </w:pPr>
      <w:r>
        <w:rPr>
          <w:b/>
        </w:rPr>
        <w:br w:type="page"/>
      </w:r>
    </w:p>
    <w:p w:rsidR="00B94000" w:rsidRDefault="00B94000" w:rsidP="00B94000">
      <w:pPr>
        <w:rPr>
          <w:b/>
        </w:rPr>
      </w:pPr>
      <w:r>
        <w:rPr>
          <w:b/>
        </w:rPr>
        <w:lastRenderedPageBreak/>
        <w:t>6.- ENCUESTAS</w:t>
      </w:r>
    </w:p>
    <w:p w:rsidR="003033A0" w:rsidRPr="00A73438" w:rsidRDefault="003033A0" w:rsidP="00B94000">
      <w:pPr>
        <w:rPr>
          <w:b/>
        </w:rPr>
      </w:pPr>
    </w:p>
    <w:p w:rsidR="00333E85" w:rsidRPr="00B93D6F" w:rsidRDefault="00551535">
      <w:pPr>
        <w:spacing w:after="200"/>
        <w:rPr>
          <w:i/>
        </w:rPr>
      </w:pPr>
      <w:r w:rsidRPr="00FE2766">
        <w:rPr>
          <w:b/>
        </w:rPr>
        <w:t>6.1 ENCUESTAS DE SATISFACCIÓN GENERAL</w:t>
      </w:r>
      <w:r w:rsidR="00B93D6F" w:rsidRPr="00B93D6F">
        <w:rPr>
          <w:i/>
        </w:rPr>
        <w:t xml:space="preserve"> (Ver Anexo Resultados </w:t>
      </w:r>
      <w:proofErr w:type="spellStart"/>
      <w:r w:rsidR="00B93D6F" w:rsidRPr="00B93D6F">
        <w:rPr>
          <w:i/>
        </w:rPr>
        <w:t>Enc</w:t>
      </w:r>
      <w:proofErr w:type="spellEnd"/>
      <w:r w:rsidR="00B93D6F" w:rsidRPr="00B93D6F">
        <w:rPr>
          <w:i/>
        </w:rPr>
        <w:t>. Generales UTLA+CICT)</w:t>
      </w:r>
    </w:p>
    <w:tbl>
      <w:tblPr>
        <w:tblStyle w:val="Tablaconcuadrcula"/>
        <w:tblW w:w="0" w:type="auto"/>
        <w:tblLook w:val="04A0" w:firstRow="1" w:lastRow="0" w:firstColumn="1" w:lastColumn="0" w:noHBand="0" w:noVBand="1"/>
      </w:tblPr>
      <w:tblGrid>
        <w:gridCol w:w="2376"/>
        <w:gridCol w:w="1985"/>
        <w:gridCol w:w="2126"/>
        <w:gridCol w:w="1701"/>
        <w:gridCol w:w="1701"/>
      </w:tblGrid>
      <w:tr w:rsidR="009F3436" w:rsidRPr="000E0885" w:rsidTr="000E70E2">
        <w:tc>
          <w:tcPr>
            <w:tcW w:w="2376" w:type="dxa"/>
            <w:shd w:val="clear" w:color="auto" w:fill="D9D9D9" w:themeFill="background1" w:themeFillShade="D9"/>
          </w:tcPr>
          <w:p w:rsidR="009F3436" w:rsidRPr="000E0885" w:rsidRDefault="009F3436">
            <w:pPr>
              <w:spacing w:after="200"/>
              <w:rPr>
                <w:b/>
              </w:rPr>
            </w:pPr>
            <w:r w:rsidRPr="000E0885">
              <w:rPr>
                <w:b/>
              </w:rPr>
              <w:t>Denominación de la encuesta.</w:t>
            </w:r>
          </w:p>
        </w:tc>
        <w:tc>
          <w:tcPr>
            <w:tcW w:w="1985" w:type="dxa"/>
            <w:shd w:val="clear" w:color="auto" w:fill="auto"/>
          </w:tcPr>
          <w:p w:rsidR="009F3436" w:rsidRPr="000E70E2" w:rsidRDefault="000841C1">
            <w:pPr>
              <w:spacing w:after="200"/>
              <w:rPr>
                <w:sz w:val="18"/>
                <w:szCs w:val="18"/>
              </w:rPr>
            </w:pPr>
            <w:r>
              <w:rPr>
                <w:sz w:val="18"/>
                <w:szCs w:val="18"/>
              </w:rPr>
              <w:t>Realizada e informe disponible c</w:t>
            </w:r>
            <w:r w:rsidR="000E0885" w:rsidRPr="000E70E2">
              <w:rPr>
                <w:sz w:val="18"/>
                <w:szCs w:val="18"/>
              </w:rPr>
              <w:t>iclo 2015</w:t>
            </w:r>
          </w:p>
        </w:tc>
        <w:tc>
          <w:tcPr>
            <w:tcW w:w="2126" w:type="dxa"/>
            <w:shd w:val="clear" w:color="auto" w:fill="auto"/>
          </w:tcPr>
          <w:p w:rsidR="009F3436" w:rsidRPr="000E70E2" w:rsidRDefault="00CF030D" w:rsidP="00CF030D">
            <w:pPr>
              <w:spacing w:after="200"/>
              <w:rPr>
                <w:sz w:val="18"/>
                <w:szCs w:val="18"/>
              </w:rPr>
            </w:pPr>
            <w:r>
              <w:rPr>
                <w:sz w:val="18"/>
                <w:szCs w:val="18"/>
              </w:rPr>
              <w:t>En su caso a</w:t>
            </w:r>
            <w:r w:rsidR="009F3436" w:rsidRPr="000E70E2">
              <w:rPr>
                <w:sz w:val="18"/>
                <w:szCs w:val="18"/>
              </w:rPr>
              <w:t>cciones para mejorar los índices de participaci</w:t>
            </w:r>
            <w:r w:rsidR="000E0885" w:rsidRPr="000E70E2">
              <w:rPr>
                <w:sz w:val="18"/>
                <w:szCs w:val="18"/>
              </w:rPr>
              <w:t>ón ciclo 2014 o 2015.</w:t>
            </w:r>
          </w:p>
        </w:tc>
        <w:tc>
          <w:tcPr>
            <w:tcW w:w="1701" w:type="dxa"/>
            <w:shd w:val="clear" w:color="auto" w:fill="auto"/>
          </w:tcPr>
          <w:p w:rsidR="009F3436" w:rsidRPr="000E70E2" w:rsidRDefault="000E0885" w:rsidP="000E0885">
            <w:pPr>
              <w:spacing w:after="200"/>
              <w:rPr>
                <w:sz w:val="18"/>
                <w:szCs w:val="18"/>
              </w:rPr>
            </w:pPr>
            <w:r w:rsidRPr="000E70E2">
              <w:rPr>
                <w:sz w:val="18"/>
                <w:szCs w:val="18"/>
              </w:rPr>
              <w:t xml:space="preserve">Valoración de </w:t>
            </w:r>
            <w:r w:rsidR="009F3436" w:rsidRPr="000E70E2">
              <w:rPr>
                <w:sz w:val="18"/>
                <w:szCs w:val="18"/>
              </w:rPr>
              <w:t xml:space="preserve">Resultados </w:t>
            </w:r>
            <w:r w:rsidRPr="000E70E2">
              <w:rPr>
                <w:sz w:val="18"/>
                <w:szCs w:val="18"/>
              </w:rPr>
              <w:t>ciclo 2015</w:t>
            </w:r>
            <w:r w:rsidR="007A06BB">
              <w:rPr>
                <w:sz w:val="18"/>
                <w:szCs w:val="18"/>
              </w:rPr>
              <w:t xml:space="preserve"> por la Unidad</w:t>
            </w:r>
          </w:p>
        </w:tc>
        <w:tc>
          <w:tcPr>
            <w:tcW w:w="1701" w:type="dxa"/>
            <w:shd w:val="clear" w:color="auto" w:fill="auto"/>
          </w:tcPr>
          <w:p w:rsidR="009F3436" w:rsidRPr="000E70E2" w:rsidRDefault="000E0885">
            <w:pPr>
              <w:spacing w:after="200"/>
              <w:rPr>
                <w:sz w:val="18"/>
                <w:szCs w:val="18"/>
              </w:rPr>
            </w:pPr>
            <w:r w:rsidRPr="000E70E2">
              <w:rPr>
                <w:sz w:val="18"/>
                <w:szCs w:val="18"/>
              </w:rPr>
              <w:t>Acciones de mejora ciclo 2015</w:t>
            </w:r>
          </w:p>
        </w:tc>
      </w:tr>
      <w:tr w:rsidR="009F3436" w:rsidTr="00C2210F">
        <w:tc>
          <w:tcPr>
            <w:tcW w:w="2376" w:type="dxa"/>
            <w:vAlign w:val="center"/>
          </w:tcPr>
          <w:p w:rsidR="00B93D6F" w:rsidRDefault="000841C1" w:rsidP="00C2210F">
            <w:pPr>
              <w:spacing w:after="200"/>
            </w:pPr>
            <w:r>
              <w:t>EG-16_PC08</w:t>
            </w:r>
          </w:p>
        </w:tc>
        <w:tc>
          <w:tcPr>
            <w:tcW w:w="1985" w:type="dxa"/>
          </w:tcPr>
          <w:p w:rsidR="009F3436" w:rsidRPr="00C2210F" w:rsidRDefault="000841C1">
            <w:pPr>
              <w:spacing w:after="200"/>
              <w:rPr>
                <w:sz w:val="20"/>
              </w:rPr>
            </w:pPr>
            <w:r w:rsidRPr="00C2210F">
              <w:rPr>
                <w:sz w:val="20"/>
              </w:rPr>
              <w:t>No disponible</w:t>
            </w:r>
            <w:r w:rsidR="00C2210F">
              <w:rPr>
                <w:sz w:val="20"/>
              </w:rPr>
              <w:t>.</w:t>
            </w:r>
          </w:p>
        </w:tc>
        <w:tc>
          <w:tcPr>
            <w:tcW w:w="2126" w:type="dxa"/>
          </w:tcPr>
          <w:p w:rsidR="009F3436" w:rsidRPr="00C2210F" w:rsidRDefault="000841C1">
            <w:pPr>
              <w:spacing w:after="200"/>
              <w:rPr>
                <w:sz w:val="20"/>
              </w:rPr>
            </w:pPr>
            <w:r w:rsidRPr="00C2210F">
              <w:rPr>
                <w:sz w:val="20"/>
              </w:rPr>
              <w:t xml:space="preserve">No había mejoras en el ciclo 2014 y el </w:t>
            </w:r>
            <w:r w:rsidR="00C2210F">
              <w:rPr>
                <w:sz w:val="20"/>
              </w:rPr>
              <w:t>2015 está pendiente de analizar.</w:t>
            </w:r>
          </w:p>
        </w:tc>
        <w:tc>
          <w:tcPr>
            <w:tcW w:w="1701" w:type="dxa"/>
          </w:tcPr>
          <w:p w:rsidR="009F3436" w:rsidRPr="00C2210F" w:rsidRDefault="000841C1">
            <w:pPr>
              <w:spacing w:after="200"/>
              <w:rPr>
                <w:sz w:val="20"/>
              </w:rPr>
            </w:pPr>
            <w:r w:rsidRPr="00C2210F">
              <w:rPr>
                <w:sz w:val="20"/>
              </w:rPr>
              <w:t>Según la Unidad no disponen de los resultados.</w:t>
            </w:r>
          </w:p>
        </w:tc>
        <w:tc>
          <w:tcPr>
            <w:tcW w:w="1701" w:type="dxa"/>
          </w:tcPr>
          <w:p w:rsidR="009F3436" w:rsidRPr="00C2210F" w:rsidRDefault="009F3436">
            <w:pPr>
              <w:spacing w:after="200"/>
              <w:rPr>
                <w:sz w:val="20"/>
              </w:rPr>
            </w:pPr>
          </w:p>
        </w:tc>
      </w:tr>
      <w:tr w:rsidR="001224C6" w:rsidTr="00903AD6">
        <w:tc>
          <w:tcPr>
            <w:tcW w:w="2376" w:type="dxa"/>
            <w:shd w:val="clear" w:color="auto" w:fill="D9D9D9" w:themeFill="background1" w:themeFillShade="D9"/>
          </w:tcPr>
          <w:p w:rsidR="001224C6" w:rsidRPr="00FE2766" w:rsidRDefault="001224C6" w:rsidP="001224C6">
            <w:pPr>
              <w:spacing w:after="200"/>
              <w:rPr>
                <w:b/>
              </w:rPr>
            </w:pPr>
            <w:r>
              <w:rPr>
                <w:b/>
              </w:rPr>
              <w:t>Observaciones</w:t>
            </w:r>
          </w:p>
        </w:tc>
        <w:tc>
          <w:tcPr>
            <w:tcW w:w="7513" w:type="dxa"/>
            <w:gridSpan w:val="4"/>
            <w:vAlign w:val="center"/>
          </w:tcPr>
          <w:p w:rsidR="00B93D6F" w:rsidRPr="00C2210F" w:rsidRDefault="000841C1" w:rsidP="00903AD6">
            <w:pPr>
              <w:spacing w:after="200"/>
              <w:rPr>
                <w:color w:val="FF0000"/>
                <w:sz w:val="20"/>
              </w:rPr>
            </w:pPr>
            <w:r w:rsidRPr="00C2210F">
              <w:rPr>
                <w:color w:val="000000" w:themeColor="text1"/>
                <w:sz w:val="20"/>
              </w:rPr>
              <w:t>Según la Unidad todavía no disponen de los resultados de la encuesta; sin embargo, según la información de la que dispone el equipo auditor la encuesta fue lanzada el 18-06-2015 y los re</w:t>
            </w:r>
            <w:r w:rsidR="00903AD6">
              <w:rPr>
                <w:color w:val="000000" w:themeColor="text1"/>
                <w:sz w:val="20"/>
              </w:rPr>
              <w:t>sultados enviados el 13-07-2015, obteniéndose respuesta de agradecimiento a través de correo electrónico por parte de la responsable de la unidad a modo de confirmación de la recepción del informe de resultados y ficha técnica de la encuesta.</w:t>
            </w:r>
          </w:p>
        </w:tc>
      </w:tr>
      <w:tr w:rsidR="00FE2766" w:rsidTr="00096CC0">
        <w:tc>
          <w:tcPr>
            <w:tcW w:w="2376" w:type="dxa"/>
            <w:shd w:val="clear" w:color="auto" w:fill="D9D9D9" w:themeFill="background1" w:themeFillShade="D9"/>
          </w:tcPr>
          <w:p w:rsidR="006550C2" w:rsidRPr="00FE2766" w:rsidRDefault="00FE2766" w:rsidP="001224C6">
            <w:pPr>
              <w:spacing w:after="200"/>
              <w:rPr>
                <w:b/>
              </w:rPr>
            </w:pPr>
            <w:r w:rsidRPr="00FE2766">
              <w:rPr>
                <w:b/>
              </w:rPr>
              <w:t>Valoración de auditoría</w:t>
            </w:r>
            <w:r w:rsidR="001224C6">
              <w:rPr>
                <w:b/>
              </w:rPr>
              <w:t xml:space="preserve"> </w:t>
            </w:r>
            <w:r w:rsidR="006550C2">
              <w:rPr>
                <w:b/>
              </w:rPr>
              <w:t xml:space="preserve"> </w:t>
            </w:r>
          </w:p>
        </w:tc>
        <w:tc>
          <w:tcPr>
            <w:tcW w:w="7513" w:type="dxa"/>
            <w:gridSpan w:val="4"/>
          </w:tcPr>
          <w:p w:rsidR="00B93D6F" w:rsidRDefault="00C2210F">
            <w:pPr>
              <w:spacing w:after="200"/>
            </w:pPr>
            <w:r w:rsidRPr="00C2210F">
              <w:rPr>
                <w:sz w:val="20"/>
              </w:rPr>
              <w:t xml:space="preserve">Se recomienda el análisis por parte de la Unidad del informe de resultados de la Encuesta General EG-16-PC08, la valoración de resultados para el ciclo actual y, si lo estiman oportuno, la puesta en marcha de las acciones de mejora que </w:t>
            </w:r>
            <w:r w:rsidR="00706191" w:rsidRPr="00C2210F">
              <w:rPr>
                <w:sz w:val="20"/>
              </w:rPr>
              <w:t>considere</w:t>
            </w:r>
            <w:r w:rsidRPr="00C2210F">
              <w:rPr>
                <w:sz w:val="20"/>
              </w:rPr>
              <w:t>.</w:t>
            </w:r>
          </w:p>
        </w:tc>
      </w:tr>
    </w:tbl>
    <w:p w:rsidR="00551535" w:rsidRDefault="00551535">
      <w:pPr>
        <w:spacing w:after="200"/>
      </w:pPr>
    </w:p>
    <w:p w:rsidR="00FE2766" w:rsidRPr="00B93D6F" w:rsidRDefault="00FE2766" w:rsidP="00FE2766">
      <w:pPr>
        <w:spacing w:after="200"/>
        <w:rPr>
          <w:i/>
        </w:rPr>
      </w:pPr>
      <w:r w:rsidRPr="00FE2766">
        <w:rPr>
          <w:b/>
        </w:rPr>
        <w:t>6.</w:t>
      </w:r>
      <w:r>
        <w:rPr>
          <w:b/>
        </w:rPr>
        <w:t>2</w:t>
      </w:r>
      <w:r w:rsidRPr="00FE2766">
        <w:rPr>
          <w:b/>
        </w:rPr>
        <w:t xml:space="preserve"> ENCUESTAS </w:t>
      </w:r>
      <w:r>
        <w:rPr>
          <w:b/>
        </w:rPr>
        <w:t>POST-SERVICIO</w:t>
      </w:r>
      <w:r w:rsidR="00B93D6F" w:rsidRPr="00B93D6F">
        <w:rPr>
          <w:i/>
        </w:rPr>
        <w:t xml:space="preserve"> (Ver Anexo Encuestas Post Servicio PC08)</w:t>
      </w:r>
    </w:p>
    <w:tbl>
      <w:tblPr>
        <w:tblStyle w:val="Tablaconcuadrcula"/>
        <w:tblW w:w="0" w:type="auto"/>
        <w:tblLook w:val="04A0" w:firstRow="1" w:lastRow="0" w:firstColumn="1" w:lastColumn="0" w:noHBand="0" w:noVBand="1"/>
      </w:tblPr>
      <w:tblGrid>
        <w:gridCol w:w="2376"/>
        <w:gridCol w:w="1985"/>
        <w:gridCol w:w="2126"/>
        <w:gridCol w:w="1701"/>
        <w:gridCol w:w="1701"/>
      </w:tblGrid>
      <w:tr w:rsidR="007A06BB" w:rsidRPr="000E0885" w:rsidTr="007A06BB">
        <w:tc>
          <w:tcPr>
            <w:tcW w:w="2376" w:type="dxa"/>
            <w:shd w:val="clear" w:color="auto" w:fill="D9D9D9" w:themeFill="background1" w:themeFillShade="D9"/>
          </w:tcPr>
          <w:p w:rsidR="00FE2766" w:rsidRPr="000E0885" w:rsidRDefault="00FE2766" w:rsidP="00EE4E70">
            <w:pPr>
              <w:spacing w:after="200"/>
              <w:rPr>
                <w:b/>
              </w:rPr>
            </w:pPr>
            <w:r w:rsidRPr="000E0885">
              <w:rPr>
                <w:b/>
              </w:rPr>
              <w:t>Denominación de la encuesta.</w:t>
            </w:r>
          </w:p>
        </w:tc>
        <w:tc>
          <w:tcPr>
            <w:tcW w:w="1985" w:type="dxa"/>
            <w:shd w:val="clear" w:color="auto" w:fill="auto"/>
          </w:tcPr>
          <w:p w:rsidR="00AF2A66" w:rsidRDefault="00AF2A66" w:rsidP="00AF2A66">
            <w:pPr>
              <w:spacing w:after="200"/>
              <w:rPr>
                <w:sz w:val="18"/>
                <w:szCs w:val="18"/>
              </w:rPr>
            </w:pPr>
            <w:r>
              <w:rPr>
                <w:sz w:val="18"/>
                <w:szCs w:val="18"/>
              </w:rPr>
              <w:t>La encuesta se está realizando.</w:t>
            </w:r>
          </w:p>
          <w:p w:rsidR="00FE2766" w:rsidRPr="007A06BB" w:rsidRDefault="00AF2A66" w:rsidP="00AF2A66">
            <w:pPr>
              <w:spacing w:after="200"/>
              <w:rPr>
                <w:sz w:val="18"/>
                <w:szCs w:val="18"/>
              </w:rPr>
            </w:pPr>
            <w:r>
              <w:rPr>
                <w:sz w:val="18"/>
                <w:szCs w:val="18"/>
              </w:rPr>
              <w:t>Informe disponible ciclo 2015.</w:t>
            </w:r>
          </w:p>
        </w:tc>
        <w:tc>
          <w:tcPr>
            <w:tcW w:w="2126" w:type="dxa"/>
            <w:shd w:val="clear" w:color="auto" w:fill="auto"/>
          </w:tcPr>
          <w:p w:rsidR="00FE2766" w:rsidRPr="007A06BB" w:rsidRDefault="00CF030D" w:rsidP="00EE4E70">
            <w:pPr>
              <w:spacing w:after="200"/>
              <w:rPr>
                <w:sz w:val="18"/>
                <w:szCs w:val="18"/>
              </w:rPr>
            </w:pPr>
            <w:r>
              <w:rPr>
                <w:sz w:val="18"/>
                <w:szCs w:val="18"/>
              </w:rPr>
              <w:t xml:space="preserve">En su caso </w:t>
            </w:r>
            <w:r w:rsidR="00FE2766" w:rsidRPr="007A06BB">
              <w:rPr>
                <w:sz w:val="18"/>
                <w:szCs w:val="18"/>
              </w:rPr>
              <w:t>Acciones para mejorar los índices de participación ciclo 2014 o 2015.</w:t>
            </w:r>
          </w:p>
        </w:tc>
        <w:tc>
          <w:tcPr>
            <w:tcW w:w="1701" w:type="dxa"/>
            <w:shd w:val="clear" w:color="auto" w:fill="auto"/>
          </w:tcPr>
          <w:p w:rsidR="00FE2766" w:rsidRPr="007A06BB" w:rsidRDefault="00FE2766" w:rsidP="00EE4E70">
            <w:pPr>
              <w:spacing w:after="200"/>
              <w:rPr>
                <w:sz w:val="18"/>
                <w:szCs w:val="18"/>
              </w:rPr>
            </w:pPr>
            <w:r w:rsidRPr="007A06BB">
              <w:rPr>
                <w:sz w:val="18"/>
                <w:szCs w:val="18"/>
              </w:rPr>
              <w:t>Valoración de Resultados ciclo 2015</w:t>
            </w:r>
          </w:p>
        </w:tc>
        <w:tc>
          <w:tcPr>
            <w:tcW w:w="1701" w:type="dxa"/>
            <w:shd w:val="clear" w:color="auto" w:fill="auto"/>
          </w:tcPr>
          <w:p w:rsidR="00FE2766" w:rsidRPr="007A06BB" w:rsidRDefault="00FE2766" w:rsidP="00EE4E70">
            <w:pPr>
              <w:spacing w:after="200"/>
              <w:rPr>
                <w:sz w:val="18"/>
                <w:szCs w:val="18"/>
              </w:rPr>
            </w:pPr>
            <w:r w:rsidRPr="007A06BB">
              <w:rPr>
                <w:sz w:val="18"/>
                <w:szCs w:val="18"/>
              </w:rPr>
              <w:t>Acciones de mejora ciclo 2015</w:t>
            </w:r>
          </w:p>
        </w:tc>
      </w:tr>
      <w:tr w:rsidR="00FE2766" w:rsidTr="00EE4E70">
        <w:tc>
          <w:tcPr>
            <w:tcW w:w="2376" w:type="dxa"/>
          </w:tcPr>
          <w:p w:rsidR="00FE2766" w:rsidRDefault="00FE2766" w:rsidP="00EE4E70">
            <w:pPr>
              <w:spacing w:after="200"/>
            </w:pPr>
          </w:p>
          <w:p w:rsidR="00B93D6F" w:rsidRDefault="00B93D6F" w:rsidP="00EE4E70">
            <w:pPr>
              <w:spacing w:after="200"/>
            </w:pPr>
          </w:p>
          <w:p w:rsidR="00B93D6F" w:rsidRDefault="00C2210F" w:rsidP="00EE4E70">
            <w:pPr>
              <w:spacing w:after="200"/>
            </w:pPr>
            <w:r w:rsidRPr="00136CD0">
              <w:rPr>
                <w:rFonts w:ascii="Calibri" w:eastAsia="Times New Roman" w:hAnsi="Calibri" w:cs="Times New Roman"/>
                <w:sz w:val="18"/>
                <w:szCs w:val="18"/>
                <w:lang w:eastAsia="es-ES"/>
              </w:rPr>
              <w:t>EP-42-PC08</w:t>
            </w:r>
            <w:r>
              <w:rPr>
                <w:rFonts w:ascii="Calibri" w:eastAsia="Times New Roman" w:hAnsi="Calibri" w:cs="Times New Roman"/>
                <w:sz w:val="18"/>
                <w:szCs w:val="18"/>
                <w:lang w:eastAsia="es-ES"/>
              </w:rPr>
              <w:t xml:space="preserve"> Resolución Práctica de consulta, Apoyo a la Docencia y Apoyo a la Investigación</w:t>
            </w:r>
          </w:p>
        </w:tc>
        <w:tc>
          <w:tcPr>
            <w:tcW w:w="1985" w:type="dxa"/>
          </w:tcPr>
          <w:p w:rsidR="000841C1" w:rsidRDefault="000841C1" w:rsidP="00EE4E70">
            <w:pPr>
              <w:spacing w:after="200"/>
            </w:pPr>
            <w:r>
              <w:t>Resultados parciales</w:t>
            </w:r>
            <w:r w:rsidR="00886985">
              <w:t xml:space="preserve"> a fecha de auditoria de satisfacción global:</w:t>
            </w:r>
          </w:p>
          <w:p w:rsidR="00886985" w:rsidRPr="00886985" w:rsidRDefault="00886985" w:rsidP="00EE4E70">
            <w:pPr>
              <w:spacing w:after="200"/>
              <w:rPr>
                <w:sz w:val="20"/>
                <w:szCs w:val="20"/>
              </w:rPr>
            </w:pPr>
            <w:r w:rsidRPr="00886985">
              <w:rPr>
                <w:sz w:val="20"/>
                <w:szCs w:val="20"/>
              </w:rPr>
              <w:t>Apoyo Docencia 4,77</w:t>
            </w:r>
          </w:p>
          <w:p w:rsidR="00886985" w:rsidRPr="00886985" w:rsidRDefault="00886985" w:rsidP="00EE4E70">
            <w:pPr>
              <w:spacing w:after="200"/>
              <w:rPr>
                <w:sz w:val="20"/>
                <w:szCs w:val="20"/>
              </w:rPr>
            </w:pPr>
            <w:r w:rsidRPr="00886985">
              <w:rPr>
                <w:sz w:val="20"/>
                <w:szCs w:val="20"/>
              </w:rPr>
              <w:t>Apoyo Investigación</w:t>
            </w:r>
          </w:p>
          <w:p w:rsidR="00886985" w:rsidRDefault="00886985" w:rsidP="00EE4E70">
            <w:pPr>
              <w:spacing w:after="200"/>
            </w:pPr>
            <w:r w:rsidRPr="00886985">
              <w:rPr>
                <w:sz w:val="20"/>
                <w:szCs w:val="20"/>
              </w:rPr>
              <w:t>4,97</w:t>
            </w:r>
          </w:p>
        </w:tc>
        <w:tc>
          <w:tcPr>
            <w:tcW w:w="2126" w:type="dxa"/>
          </w:tcPr>
          <w:p w:rsidR="00FE2766" w:rsidRDefault="00886985" w:rsidP="00EE4E70">
            <w:pPr>
              <w:spacing w:after="200"/>
            </w:pPr>
            <w:r>
              <w:t>No planteaban acciones de mejora en 2014.</w:t>
            </w:r>
          </w:p>
        </w:tc>
        <w:tc>
          <w:tcPr>
            <w:tcW w:w="1701" w:type="dxa"/>
          </w:tcPr>
          <w:p w:rsidR="00FE2766" w:rsidRDefault="00886985" w:rsidP="00EE4E70">
            <w:pPr>
              <w:spacing w:after="200"/>
            </w:pPr>
            <w:r>
              <w:t>No procede</w:t>
            </w:r>
          </w:p>
        </w:tc>
        <w:tc>
          <w:tcPr>
            <w:tcW w:w="1701" w:type="dxa"/>
          </w:tcPr>
          <w:p w:rsidR="00FE2766" w:rsidRDefault="00886985" w:rsidP="00EE4E70">
            <w:pPr>
              <w:spacing w:after="200"/>
            </w:pPr>
            <w:r>
              <w:t>No procede</w:t>
            </w:r>
          </w:p>
        </w:tc>
      </w:tr>
      <w:tr w:rsidR="00FE2766" w:rsidTr="00365F71">
        <w:tc>
          <w:tcPr>
            <w:tcW w:w="2376" w:type="dxa"/>
            <w:shd w:val="clear" w:color="auto" w:fill="D9D9D9" w:themeFill="background1" w:themeFillShade="D9"/>
            <w:vAlign w:val="center"/>
          </w:tcPr>
          <w:p w:rsidR="00B93D6F" w:rsidRPr="00FE2766" w:rsidRDefault="001224C6" w:rsidP="00365F71">
            <w:pPr>
              <w:spacing w:after="200"/>
              <w:rPr>
                <w:b/>
              </w:rPr>
            </w:pPr>
            <w:r>
              <w:rPr>
                <w:b/>
              </w:rPr>
              <w:t>Observaciones</w:t>
            </w:r>
          </w:p>
        </w:tc>
        <w:tc>
          <w:tcPr>
            <w:tcW w:w="7513" w:type="dxa"/>
            <w:gridSpan w:val="4"/>
            <w:vAlign w:val="center"/>
          </w:tcPr>
          <w:p w:rsidR="00FE2766" w:rsidRDefault="00C2210F" w:rsidP="00365F71">
            <w:pPr>
              <w:spacing w:after="200"/>
            </w:pPr>
            <w:r>
              <w:t>Según indican los miembros de la unidad l</w:t>
            </w:r>
            <w:r w:rsidR="00886985">
              <w:t>os resultados se analizan una vez obtenidos los datos anuales.</w:t>
            </w:r>
          </w:p>
        </w:tc>
      </w:tr>
      <w:tr w:rsidR="001224C6" w:rsidTr="00EE4E70">
        <w:tc>
          <w:tcPr>
            <w:tcW w:w="2376" w:type="dxa"/>
            <w:shd w:val="clear" w:color="auto" w:fill="D9D9D9" w:themeFill="background1" w:themeFillShade="D9"/>
          </w:tcPr>
          <w:p w:rsidR="00B93D6F" w:rsidRPr="00FE2766" w:rsidRDefault="001224C6" w:rsidP="00365F71">
            <w:pPr>
              <w:spacing w:after="200"/>
              <w:rPr>
                <w:b/>
              </w:rPr>
            </w:pPr>
            <w:r w:rsidRPr="00FE2766">
              <w:rPr>
                <w:b/>
              </w:rPr>
              <w:t>Valoración de auditoría</w:t>
            </w:r>
            <w:r>
              <w:rPr>
                <w:b/>
              </w:rPr>
              <w:t xml:space="preserve">  </w:t>
            </w:r>
          </w:p>
        </w:tc>
        <w:tc>
          <w:tcPr>
            <w:tcW w:w="7513" w:type="dxa"/>
            <w:gridSpan w:val="4"/>
          </w:tcPr>
          <w:p w:rsidR="001224C6" w:rsidRDefault="00365F71" w:rsidP="00EE4E70">
            <w:pPr>
              <w:spacing w:after="200"/>
            </w:pPr>
            <w:r>
              <w:t xml:space="preserve">Se valora positivamente la valoración obtenida en el primer semestre del ciclo de gestión 2015. </w:t>
            </w:r>
          </w:p>
          <w:p w:rsidR="00365F71" w:rsidRDefault="00365F71" w:rsidP="00EE4E70">
            <w:pPr>
              <w:spacing w:after="200"/>
            </w:pPr>
          </w:p>
        </w:tc>
      </w:tr>
    </w:tbl>
    <w:p w:rsidR="00FE2766" w:rsidRDefault="00FE2766">
      <w:pPr>
        <w:spacing w:after="200"/>
      </w:pPr>
    </w:p>
    <w:sectPr w:rsidR="00FE2766" w:rsidSect="00B82FC0">
      <w:headerReference w:type="default" r:id="rId9"/>
      <w:footerReference w:type="default" r:id="rId10"/>
      <w:pgSz w:w="11906" w:h="16838" w:code="9"/>
      <w:pgMar w:top="720" w:right="720" w:bottom="720" w:left="720" w:header="357"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3B" w:rsidRDefault="00AC223B" w:rsidP="00A622B7">
      <w:pPr>
        <w:spacing w:line="240" w:lineRule="auto"/>
      </w:pPr>
      <w:r>
        <w:separator/>
      </w:r>
    </w:p>
  </w:endnote>
  <w:endnote w:type="continuationSeparator" w:id="0">
    <w:p w:rsidR="00AC223B" w:rsidRDefault="00AC223B" w:rsidP="00A62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0704"/>
      <w:docPartObj>
        <w:docPartGallery w:val="Page Numbers (Bottom of Page)"/>
        <w:docPartUnique/>
      </w:docPartObj>
    </w:sdtPr>
    <w:sdtEndPr/>
    <w:sdtContent>
      <w:p w:rsidR="00E70CEE" w:rsidRDefault="00B04003">
        <w:pPr>
          <w:pStyle w:val="Piedepgina"/>
          <w:jc w:val="center"/>
        </w:pPr>
        <w:r>
          <w:fldChar w:fldCharType="begin"/>
        </w:r>
        <w:r>
          <w:instrText xml:space="preserve"> PAGE   \* MERGEFORMAT </w:instrText>
        </w:r>
        <w:r>
          <w:fldChar w:fldCharType="separate"/>
        </w:r>
        <w:r w:rsidR="0005285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3B" w:rsidRDefault="00AC223B" w:rsidP="00A622B7">
      <w:pPr>
        <w:spacing w:line="240" w:lineRule="auto"/>
      </w:pPr>
      <w:r>
        <w:separator/>
      </w:r>
    </w:p>
  </w:footnote>
  <w:footnote w:type="continuationSeparator" w:id="0">
    <w:p w:rsidR="00AC223B" w:rsidRDefault="00AC223B" w:rsidP="00A622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B7" w:rsidRDefault="00A622B7">
    <w:pPr>
      <w:pStyle w:val="Encabezado"/>
    </w:pPr>
  </w:p>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A622B7" w:rsidTr="003D1193">
      <w:trPr>
        <w:trHeight w:val="480"/>
        <w:jc w:val="center"/>
      </w:trPr>
      <w:tc>
        <w:tcPr>
          <w:tcW w:w="2467" w:type="dxa"/>
          <w:vMerge w:val="restart"/>
          <w:tcBorders>
            <w:top w:val="single" w:sz="8" w:space="0" w:color="A6A6A6"/>
            <w:left w:val="nil"/>
            <w:bottom w:val="single" w:sz="8" w:space="0" w:color="A6A6A6"/>
            <w:right w:val="nil"/>
          </w:tcBorders>
        </w:tcPr>
        <w:p w:rsidR="00A622B7" w:rsidRDefault="00A622B7" w:rsidP="003D1193">
          <w:pPr>
            <w:pStyle w:val="Encabezado"/>
          </w:pPr>
          <w:r w:rsidRPr="00EA013B">
            <w:rPr>
              <w:rFonts w:ascii="Eras Bold ITC" w:hAnsi="Eras Bold ITC"/>
              <w:color w:val="808080"/>
            </w:rPr>
            <w:t>SIGC-SUA</w:t>
          </w:r>
          <w:r>
            <w:rPr>
              <w:noProof/>
            </w:rPr>
            <w:t xml:space="preserve"> </w:t>
          </w:r>
          <w:r>
            <w:rPr>
              <w:noProof/>
              <w:lang w:eastAsia="es-ES"/>
            </w:rPr>
            <w:drawing>
              <wp:inline distT="0" distB="0" distL="0" distR="0" wp14:anchorId="5F4358B3" wp14:editId="35AEB01B">
                <wp:extent cx="1247775" cy="390525"/>
                <wp:effectExtent l="19050" t="0" r="952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A622B7" w:rsidRPr="00EA013B" w:rsidRDefault="00A622B7" w:rsidP="003D1193">
          <w:pPr>
            <w:pStyle w:val="Encabezado"/>
            <w:jc w:val="center"/>
            <w:rPr>
              <w:color w:val="808080"/>
            </w:rPr>
          </w:pPr>
          <w:r>
            <w:rPr>
              <w:noProof/>
              <w:lang w:eastAsia="es-ES"/>
            </w:rPr>
            <w:drawing>
              <wp:inline distT="0" distB="0" distL="0" distR="0" wp14:anchorId="09A6D6ED" wp14:editId="608FF0C7">
                <wp:extent cx="819150" cy="657225"/>
                <wp:effectExtent l="0" t="0" r="0" b="0"/>
                <wp:docPr id="2"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A622B7" w:rsidRPr="00EA013B" w:rsidRDefault="00A622B7" w:rsidP="006550C2">
          <w:pPr>
            <w:jc w:val="both"/>
            <w:rPr>
              <w:b/>
              <w:noProof/>
              <w:color w:val="808080"/>
              <w:sz w:val="20"/>
              <w:szCs w:val="20"/>
            </w:rPr>
          </w:pPr>
          <w:r w:rsidRPr="00696FDC">
            <w:rPr>
              <w:b/>
              <w:noProof/>
              <w:color w:val="808080"/>
              <w:sz w:val="20"/>
              <w:szCs w:val="20"/>
            </w:rPr>
            <w:t xml:space="preserve">Informe </w:t>
          </w:r>
          <w:r>
            <w:rPr>
              <w:b/>
              <w:noProof/>
              <w:color w:val="808080"/>
              <w:sz w:val="20"/>
              <w:szCs w:val="20"/>
            </w:rPr>
            <w:t xml:space="preserve">de Auditoría Interna de Seguimiento. Ciclo de  Gestión </w:t>
          </w:r>
          <w:r w:rsidRPr="004006F6">
            <w:rPr>
              <w:b/>
              <w:noProof/>
              <w:color w:val="808080"/>
              <w:sz w:val="20"/>
              <w:szCs w:val="20"/>
            </w:rPr>
            <w:t>del SIGC-SUA</w:t>
          </w:r>
          <w:r>
            <w:rPr>
              <w:b/>
              <w:noProof/>
              <w:color w:val="808080"/>
              <w:sz w:val="20"/>
              <w:szCs w:val="20"/>
            </w:rPr>
            <w:t>. 201</w:t>
          </w:r>
          <w:r w:rsidR="006550C2">
            <w:rPr>
              <w:b/>
              <w:noProof/>
              <w:color w:val="808080"/>
              <w:sz w:val="20"/>
              <w:szCs w:val="20"/>
            </w:rPr>
            <w:t>5</w:t>
          </w:r>
          <w:r>
            <w:rPr>
              <w:b/>
              <w:noProof/>
              <w:color w:val="808080"/>
              <w:sz w:val="20"/>
              <w:szCs w:val="20"/>
            </w:rPr>
            <w:t xml:space="preserve">. </w:t>
          </w:r>
        </w:p>
      </w:tc>
    </w:tr>
    <w:tr w:rsidR="00A622B7" w:rsidRPr="009A7CE9" w:rsidTr="003D1193">
      <w:trPr>
        <w:trHeight w:val="198"/>
        <w:jc w:val="center"/>
      </w:trPr>
      <w:tc>
        <w:tcPr>
          <w:tcW w:w="2467" w:type="dxa"/>
          <w:vMerge/>
          <w:tcBorders>
            <w:top w:val="nil"/>
            <w:left w:val="nil"/>
            <w:bottom w:val="single" w:sz="8" w:space="0" w:color="A6A6A6"/>
            <w:right w:val="nil"/>
          </w:tcBorders>
        </w:tcPr>
        <w:p w:rsidR="00A622B7" w:rsidRDefault="00A622B7" w:rsidP="003D1193">
          <w:pPr>
            <w:pStyle w:val="Encabezado"/>
            <w:rPr>
              <w:noProof/>
            </w:rPr>
          </w:pPr>
        </w:p>
      </w:tc>
      <w:tc>
        <w:tcPr>
          <w:tcW w:w="2469" w:type="dxa"/>
          <w:vMerge/>
          <w:tcBorders>
            <w:left w:val="nil"/>
            <w:bottom w:val="single" w:sz="8" w:space="0" w:color="A6A6A6"/>
          </w:tcBorders>
          <w:vAlign w:val="center"/>
        </w:tcPr>
        <w:p w:rsidR="00A622B7" w:rsidRPr="00EA013B" w:rsidRDefault="00A622B7" w:rsidP="003D1193">
          <w:pPr>
            <w:pStyle w:val="Encabezado"/>
            <w:rPr>
              <w:b/>
              <w:color w:val="808080"/>
            </w:rPr>
          </w:pPr>
        </w:p>
      </w:tc>
      <w:tc>
        <w:tcPr>
          <w:tcW w:w="4758" w:type="dxa"/>
          <w:tcBorders>
            <w:top w:val="single" w:sz="8" w:space="0" w:color="A6A6A6"/>
            <w:bottom w:val="single" w:sz="8" w:space="0" w:color="A6A6A6"/>
            <w:right w:val="nil"/>
          </w:tcBorders>
          <w:vAlign w:val="center"/>
        </w:tcPr>
        <w:p w:rsidR="00A622B7" w:rsidRPr="009A7CE9" w:rsidRDefault="00A622B7" w:rsidP="00B32B25">
          <w:pPr>
            <w:rPr>
              <w:b/>
              <w:noProof/>
              <w:color w:val="808080"/>
              <w:sz w:val="20"/>
              <w:szCs w:val="20"/>
            </w:rPr>
          </w:pPr>
          <w:r w:rsidRPr="009A7CE9">
            <w:rPr>
              <w:b/>
              <w:noProof/>
              <w:color w:val="808080"/>
              <w:sz w:val="20"/>
              <w:szCs w:val="20"/>
            </w:rPr>
            <w:t>INF-AI</w:t>
          </w:r>
          <w:r w:rsidR="00B41AB8">
            <w:rPr>
              <w:b/>
              <w:noProof/>
              <w:color w:val="808080"/>
              <w:sz w:val="20"/>
              <w:szCs w:val="20"/>
            </w:rPr>
            <w:t>S</w:t>
          </w:r>
          <w:r w:rsidRPr="009A7CE9">
            <w:rPr>
              <w:b/>
              <w:noProof/>
              <w:color w:val="808080"/>
              <w:sz w:val="20"/>
              <w:szCs w:val="20"/>
            </w:rPr>
            <w:t>. CC-SIGC-SUA-</w:t>
          </w:r>
          <w:r w:rsidR="00FF3C5F">
            <w:rPr>
              <w:b/>
              <w:noProof/>
              <w:color w:val="808080"/>
              <w:sz w:val="20"/>
              <w:szCs w:val="20"/>
            </w:rPr>
            <w:t>[</w:t>
          </w:r>
          <w:r w:rsidR="00B32B25">
            <w:rPr>
              <w:b/>
              <w:noProof/>
              <w:color w:val="808080"/>
              <w:sz w:val="20"/>
              <w:szCs w:val="20"/>
            </w:rPr>
            <w:t>02-10-2015</w:t>
          </w:r>
          <w:r w:rsidR="00FF3C5F">
            <w:rPr>
              <w:b/>
              <w:noProof/>
              <w:color w:val="808080"/>
              <w:sz w:val="20"/>
              <w:szCs w:val="20"/>
            </w:rPr>
            <w:t>]</w:t>
          </w:r>
        </w:p>
      </w:tc>
    </w:tr>
  </w:tbl>
  <w:p w:rsidR="00A622B7" w:rsidRDefault="00A622B7">
    <w:pPr>
      <w:pStyle w:val="Encabezado"/>
    </w:pPr>
  </w:p>
  <w:p w:rsidR="00A622B7" w:rsidRDefault="00A622B7" w:rsidP="0013372C">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E287E58"/>
    <w:multiLevelType w:val="hybridMultilevel"/>
    <w:tmpl w:val="520055AE"/>
    <w:lvl w:ilvl="0" w:tplc="476C4F5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501452"/>
    <w:multiLevelType w:val="hybridMultilevel"/>
    <w:tmpl w:val="463035E8"/>
    <w:lvl w:ilvl="0" w:tplc="BA0C0258">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E02D25"/>
    <w:multiLevelType w:val="hybridMultilevel"/>
    <w:tmpl w:val="0FAA4C34"/>
    <w:lvl w:ilvl="0" w:tplc="9006A96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B7"/>
    <w:rsid w:val="000014E2"/>
    <w:rsid w:val="00002B86"/>
    <w:rsid w:val="00017E8E"/>
    <w:rsid w:val="00020856"/>
    <w:rsid w:val="000317EA"/>
    <w:rsid w:val="0005285A"/>
    <w:rsid w:val="000668A0"/>
    <w:rsid w:val="00066F85"/>
    <w:rsid w:val="00083CF3"/>
    <w:rsid w:val="000841C1"/>
    <w:rsid w:val="0008517B"/>
    <w:rsid w:val="00085783"/>
    <w:rsid w:val="000919B1"/>
    <w:rsid w:val="00097032"/>
    <w:rsid w:val="000C7DF6"/>
    <w:rsid w:val="000E0885"/>
    <w:rsid w:val="000E3C6F"/>
    <w:rsid w:val="000E70E2"/>
    <w:rsid w:val="000F69BC"/>
    <w:rsid w:val="001009B4"/>
    <w:rsid w:val="00106DED"/>
    <w:rsid w:val="001078E1"/>
    <w:rsid w:val="001106F1"/>
    <w:rsid w:val="00117DAE"/>
    <w:rsid w:val="001224C6"/>
    <w:rsid w:val="00125064"/>
    <w:rsid w:val="001260A9"/>
    <w:rsid w:val="0013372C"/>
    <w:rsid w:val="001465CC"/>
    <w:rsid w:val="00150ED8"/>
    <w:rsid w:val="00156E7F"/>
    <w:rsid w:val="00156EE0"/>
    <w:rsid w:val="00160F52"/>
    <w:rsid w:val="00163EA6"/>
    <w:rsid w:val="00166571"/>
    <w:rsid w:val="00167AB5"/>
    <w:rsid w:val="00175ED7"/>
    <w:rsid w:val="00181361"/>
    <w:rsid w:val="00183796"/>
    <w:rsid w:val="00186D8B"/>
    <w:rsid w:val="00195653"/>
    <w:rsid w:val="001A2CC1"/>
    <w:rsid w:val="001A3D7D"/>
    <w:rsid w:val="001B7195"/>
    <w:rsid w:val="001C34B5"/>
    <w:rsid w:val="001D15E6"/>
    <w:rsid w:val="001E5653"/>
    <w:rsid w:val="001F1C13"/>
    <w:rsid w:val="001F426B"/>
    <w:rsid w:val="001F580C"/>
    <w:rsid w:val="001F5C26"/>
    <w:rsid w:val="001F5F93"/>
    <w:rsid w:val="00200960"/>
    <w:rsid w:val="002028A0"/>
    <w:rsid w:val="00204D21"/>
    <w:rsid w:val="002137ED"/>
    <w:rsid w:val="00214EA2"/>
    <w:rsid w:val="00215FA9"/>
    <w:rsid w:val="00221699"/>
    <w:rsid w:val="0022509F"/>
    <w:rsid w:val="00225EF5"/>
    <w:rsid w:val="00227959"/>
    <w:rsid w:val="002342C4"/>
    <w:rsid w:val="00245BF4"/>
    <w:rsid w:val="00250CD3"/>
    <w:rsid w:val="002629C7"/>
    <w:rsid w:val="00273BD5"/>
    <w:rsid w:val="00275102"/>
    <w:rsid w:val="00276D05"/>
    <w:rsid w:val="00296660"/>
    <w:rsid w:val="002A5B0A"/>
    <w:rsid w:val="002B0D20"/>
    <w:rsid w:val="002D4952"/>
    <w:rsid w:val="002D7EAA"/>
    <w:rsid w:val="002E07FE"/>
    <w:rsid w:val="002E41D5"/>
    <w:rsid w:val="002F0D47"/>
    <w:rsid w:val="002F1D08"/>
    <w:rsid w:val="003033A0"/>
    <w:rsid w:val="00333E85"/>
    <w:rsid w:val="003351BF"/>
    <w:rsid w:val="0033635C"/>
    <w:rsid w:val="00337E48"/>
    <w:rsid w:val="003424DA"/>
    <w:rsid w:val="00353350"/>
    <w:rsid w:val="00363D16"/>
    <w:rsid w:val="00365F71"/>
    <w:rsid w:val="0036746A"/>
    <w:rsid w:val="00370680"/>
    <w:rsid w:val="00371504"/>
    <w:rsid w:val="00374B2C"/>
    <w:rsid w:val="0037793B"/>
    <w:rsid w:val="003861DA"/>
    <w:rsid w:val="0039526F"/>
    <w:rsid w:val="00395C90"/>
    <w:rsid w:val="003A1361"/>
    <w:rsid w:val="003A47BC"/>
    <w:rsid w:val="003A7BB0"/>
    <w:rsid w:val="003B0464"/>
    <w:rsid w:val="003B4E6F"/>
    <w:rsid w:val="003C5A44"/>
    <w:rsid w:val="003C784E"/>
    <w:rsid w:val="0042094A"/>
    <w:rsid w:val="00432741"/>
    <w:rsid w:val="00450E00"/>
    <w:rsid w:val="0045630B"/>
    <w:rsid w:val="00461C63"/>
    <w:rsid w:val="0047507C"/>
    <w:rsid w:val="00476F48"/>
    <w:rsid w:val="0048150B"/>
    <w:rsid w:val="0049075D"/>
    <w:rsid w:val="00494DD7"/>
    <w:rsid w:val="004B1026"/>
    <w:rsid w:val="004B14DE"/>
    <w:rsid w:val="004B3AE3"/>
    <w:rsid w:val="004B40DF"/>
    <w:rsid w:val="004C1D4A"/>
    <w:rsid w:val="004C2A27"/>
    <w:rsid w:val="004C5917"/>
    <w:rsid w:val="004D0371"/>
    <w:rsid w:val="004D3374"/>
    <w:rsid w:val="004D6ED2"/>
    <w:rsid w:val="004F162A"/>
    <w:rsid w:val="004F2226"/>
    <w:rsid w:val="00510489"/>
    <w:rsid w:val="0051137D"/>
    <w:rsid w:val="00512334"/>
    <w:rsid w:val="0052070A"/>
    <w:rsid w:val="00520E88"/>
    <w:rsid w:val="005265E1"/>
    <w:rsid w:val="00534D6A"/>
    <w:rsid w:val="00536A47"/>
    <w:rsid w:val="005370B9"/>
    <w:rsid w:val="00550568"/>
    <w:rsid w:val="00551535"/>
    <w:rsid w:val="00552CB9"/>
    <w:rsid w:val="00556018"/>
    <w:rsid w:val="00571C46"/>
    <w:rsid w:val="0057552C"/>
    <w:rsid w:val="005822B8"/>
    <w:rsid w:val="005923C7"/>
    <w:rsid w:val="005932AB"/>
    <w:rsid w:val="005A4279"/>
    <w:rsid w:val="005A7D5F"/>
    <w:rsid w:val="005B2ADA"/>
    <w:rsid w:val="005C41F2"/>
    <w:rsid w:val="005C4A3E"/>
    <w:rsid w:val="005C5306"/>
    <w:rsid w:val="005E2BF6"/>
    <w:rsid w:val="005F5BF2"/>
    <w:rsid w:val="006019FB"/>
    <w:rsid w:val="00607F14"/>
    <w:rsid w:val="00611131"/>
    <w:rsid w:val="006179D9"/>
    <w:rsid w:val="006205A4"/>
    <w:rsid w:val="00624BF0"/>
    <w:rsid w:val="006334B2"/>
    <w:rsid w:val="0063691F"/>
    <w:rsid w:val="00650306"/>
    <w:rsid w:val="006550C2"/>
    <w:rsid w:val="00657AA2"/>
    <w:rsid w:val="0067194D"/>
    <w:rsid w:val="00675795"/>
    <w:rsid w:val="00686F35"/>
    <w:rsid w:val="00694311"/>
    <w:rsid w:val="006A5292"/>
    <w:rsid w:val="006C4419"/>
    <w:rsid w:val="006D34C6"/>
    <w:rsid w:val="006D49B2"/>
    <w:rsid w:val="006F1A5B"/>
    <w:rsid w:val="006F689D"/>
    <w:rsid w:val="00705324"/>
    <w:rsid w:val="00706191"/>
    <w:rsid w:val="00717F2D"/>
    <w:rsid w:val="0072099D"/>
    <w:rsid w:val="007267BB"/>
    <w:rsid w:val="00734087"/>
    <w:rsid w:val="00740036"/>
    <w:rsid w:val="007402AC"/>
    <w:rsid w:val="00743E18"/>
    <w:rsid w:val="0076015D"/>
    <w:rsid w:val="007616A7"/>
    <w:rsid w:val="007720BE"/>
    <w:rsid w:val="007824EB"/>
    <w:rsid w:val="007A06BB"/>
    <w:rsid w:val="007B3FB2"/>
    <w:rsid w:val="007C1A53"/>
    <w:rsid w:val="007D27FF"/>
    <w:rsid w:val="007D3C90"/>
    <w:rsid w:val="007F4E3A"/>
    <w:rsid w:val="00802539"/>
    <w:rsid w:val="00804098"/>
    <w:rsid w:val="0082295C"/>
    <w:rsid w:val="00822F18"/>
    <w:rsid w:val="00831251"/>
    <w:rsid w:val="00833C7D"/>
    <w:rsid w:val="008374BA"/>
    <w:rsid w:val="008431E5"/>
    <w:rsid w:val="00847DD5"/>
    <w:rsid w:val="00850031"/>
    <w:rsid w:val="00850819"/>
    <w:rsid w:val="008537E4"/>
    <w:rsid w:val="00857AE5"/>
    <w:rsid w:val="008610CD"/>
    <w:rsid w:val="00867DFD"/>
    <w:rsid w:val="0087716C"/>
    <w:rsid w:val="00886655"/>
    <w:rsid w:val="00886985"/>
    <w:rsid w:val="00887AB5"/>
    <w:rsid w:val="00890D40"/>
    <w:rsid w:val="0089606E"/>
    <w:rsid w:val="008961D4"/>
    <w:rsid w:val="008976FC"/>
    <w:rsid w:val="008B1F28"/>
    <w:rsid w:val="008B3E70"/>
    <w:rsid w:val="008D08B8"/>
    <w:rsid w:val="008D10E7"/>
    <w:rsid w:val="008E4901"/>
    <w:rsid w:val="008F3FAD"/>
    <w:rsid w:val="009015A2"/>
    <w:rsid w:val="00903AD6"/>
    <w:rsid w:val="0090677A"/>
    <w:rsid w:val="0092330A"/>
    <w:rsid w:val="00924C89"/>
    <w:rsid w:val="00944C0E"/>
    <w:rsid w:val="009548DA"/>
    <w:rsid w:val="00976C65"/>
    <w:rsid w:val="00981D77"/>
    <w:rsid w:val="00990DC8"/>
    <w:rsid w:val="009B050C"/>
    <w:rsid w:val="009B3FF6"/>
    <w:rsid w:val="009C5E1A"/>
    <w:rsid w:val="009D3F72"/>
    <w:rsid w:val="009D67F8"/>
    <w:rsid w:val="009E487C"/>
    <w:rsid w:val="009F3436"/>
    <w:rsid w:val="00A07471"/>
    <w:rsid w:val="00A14113"/>
    <w:rsid w:val="00A15C0D"/>
    <w:rsid w:val="00A20812"/>
    <w:rsid w:val="00A220E4"/>
    <w:rsid w:val="00A26FF7"/>
    <w:rsid w:val="00A27283"/>
    <w:rsid w:val="00A332B8"/>
    <w:rsid w:val="00A4178C"/>
    <w:rsid w:val="00A44AEC"/>
    <w:rsid w:val="00A621E1"/>
    <w:rsid w:val="00A622B7"/>
    <w:rsid w:val="00A72B6D"/>
    <w:rsid w:val="00A73438"/>
    <w:rsid w:val="00A77388"/>
    <w:rsid w:val="00A80858"/>
    <w:rsid w:val="00A809EE"/>
    <w:rsid w:val="00A85AF2"/>
    <w:rsid w:val="00A870AD"/>
    <w:rsid w:val="00A90902"/>
    <w:rsid w:val="00A97A39"/>
    <w:rsid w:val="00AA0A91"/>
    <w:rsid w:val="00AA19EC"/>
    <w:rsid w:val="00AA6C08"/>
    <w:rsid w:val="00AA6EF6"/>
    <w:rsid w:val="00AA712C"/>
    <w:rsid w:val="00AB226A"/>
    <w:rsid w:val="00AB312B"/>
    <w:rsid w:val="00AB3A4E"/>
    <w:rsid w:val="00AC223B"/>
    <w:rsid w:val="00AD0918"/>
    <w:rsid w:val="00AD0AB0"/>
    <w:rsid w:val="00AD58F7"/>
    <w:rsid w:val="00AE361D"/>
    <w:rsid w:val="00AE6751"/>
    <w:rsid w:val="00AF0134"/>
    <w:rsid w:val="00AF2A66"/>
    <w:rsid w:val="00AF6DA0"/>
    <w:rsid w:val="00B015E8"/>
    <w:rsid w:val="00B02B98"/>
    <w:rsid w:val="00B04003"/>
    <w:rsid w:val="00B04D6C"/>
    <w:rsid w:val="00B17AA2"/>
    <w:rsid w:val="00B266DC"/>
    <w:rsid w:val="00B318EB"/>
    <w:rsid w:val="00B32B25"/>
    <w:rsid w:val="00B41AB8"/>
    <w:rsid w:val="00B420FC"/>
    <w:rsid w:val="00B437D7"/>
    <w:rsid w:val="00B47ED3"/>
    <w:rsid w:val="00B82FC0"/>
    <w:rsid w:val="00B85895"/>
    <w:rsid w:val="00B93D6F"/>
    <w:rsid w:val="00B94000"/>
    <w:rsid w:val="00BA56F3"/>
    <w:rsid w:val="00BA6ADA"/>
    <w:rsid w:val="00BB768A"/>
    <w:rsid w:val="00BC167D"/>
    <w:rsid w:val="00BC5777"/>
    <w:rsid w:val="00BD3DE8"/>
    <w:rsid w:val="00BF4A16"/>
    <w:rsid w:val="00C1496D"/>
    <w:rsid w:val="00C2210F"/>
    <w:rsid w:val="00C276F4"/>
    <w:rsid w:val="00C3364A"/>
    <w:rsid w:val="00C40B24"/>
    <w:rsid w:val="00C50793"/>
    <w:rsid w:val="00C66D7A"/>
    <w:rsid w:val="00C80C16"/>
    <w:rsid w:val="00C82261"/>
    <w:rsid w:val="00C84465"/>
    <w:rsid w:val="00C966EC"/>
    <w:rsid w:val="00C97FAA"/>
    <w:rsid w:val="00CA1693"/>
    <w:rsid w:val="00CA4685"/>
    <w:rsid w:val="00CA7427"/>
    <w:rsid w:val="00CB0A74"/>
    <w:rsid w:val="00CB46AE"/>
    <w:rsid w:val="00CD2152"/>
    <w:rsid w:val="00CD6AC5"/>
    <w:rsid w:val="00CD70D6"/>
    <w:rsid w:val="00CD7C1C"/>
    <w:rsid w:val="00CE320C"/>
    <w:rsid w:val="00CE5F62"/>
    <w:rsid w:val="00CF030D"/>
    <w:rsid w:val="00CF7D33"/>
    <w:rsid w:val="00D04231"/>
    <w:rsid w:val="00D0427D"/>
    <w:rsid w:val="00D2576D"/>
    <w:rsid w:val="00D25EED"/>
    <w:rsid w:val="00D262E9"/>
    <w:rsid w:val="00D412F0"/>
    <w:rsid w:val="00D43D9F"/>
    <w:rsid w:val="00D50689"/>
    <w:rsid w:val="00D51FDC"/>
    <w:rsid w:val="00D54C6C"/>
    <w:rsid w:val="00D6218A"/>
    <w:rsid w:val="00D721E9"/>
    <w:rsid w:val="00D913CA"/>
    <w:rsid w:val="00D94867"/>
    <w:rsid w:val="00D95E13"/>
    <w:rsid w:val="00DB2CCB"/>
    <w:rsid w:val="00DB364B"/>
    <w:rsid w:val="00DB59ED"/>
    <w:rsid w:val="00DB60AC"/>
    <w:rsid w:val="00DB6EBC"/>
    <w:rsid w:val="00DF1B3F"/>
    <w:rsid w:val="00E028DF"/>
    <w:rsid w:val="00E1310B"/>
    <w:rsid w:val="00E23CEB"/>
    <w:rsid w:val="00E26D9B"/>
    <w:rsid w:val="00E356FE"/>
    <w:rsid w:val="00E47266"/>
    <w:rsid w:val="00E70CEE"/>
    <w:rsid w:val="00E71F15"/>
    <w:rsid w:val="00E776BD"/>
    <w:rsid w:val="00E95F09"/>
    <w:rsid w:val="00EA136E"/>
    <w:rsid w:val="00EC7B36"/>
    <w:rsid w:val="00ED2171"/>
    <w:rsid w:val="00EE646D"/>
    <w:rsid w:val="00EF7E36"/>
    <w:rsid w:val="00F20E14"/>
    <w:rsid w:val="00F304D6"/>
    <w:rsid w:val="00F30A6D"/>
    <w:rsid w:val="00F44CD2"/>
    <w:rsid w:val="00F531AA"/>
    <w:rsid w:val="00F54390"/>
    <w:rsid w:val="00F55549"/>
    <w:rsid w:val="00F56513"/>
    <w:rsid w:val="00F70F36"/>
    <w:rsid w:val="00F80153"/>
    <w:rsid w:val="00F91606"/>
    <w:rsid w:val="00F91F5C"/>
    <w:rsid w:val="00F96CC1"/>
    <w:rsid w:val="00FB2503"/>
    <w:rsid w:val="00FB5F64"/>
    <w:rsid w:val="00FC3412"/>
    <w:rsid w:val="00FC3FAA"/>
    <w:rsid w:val="00FD2199"/>
    <w:rsid w:val="00FE2766"/>
    <w:rsid w:val="00FE5F52"/>
    <w:rsid w:val="00FF3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B7"/>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22B7"/>
    <w:pPr>
      <w:tabs>
        <w:tab w:val="center" w:pos="4252"/>
        <w:tab w:val="right" w:pos="8504"/>
      </w:tabs>
      <w:spacing w:line="240" w:lineRule="auto"/>
    </w:pPr>
  </w:style>
  <w:style w:type="character" w:customStyle="1" w:styleId="EncabezadoCar">
    <w:name w:val="Encabezado Car"/>
    <w:basedOn w:val="Fuentedeprrafopredeter"/>
    <w:link w:val="Encabezado"/>
    <w:rsid w:val="00A622B7"/>
  </w:style>
  <w:style w:type="paragraph" w:styleId="Piedepgina">
    <w:name w:val="footer"/>
    <w:basedOn w:val="Normal"/>
    <w:link w:val="PiedepginaCar"/>
    <w:uiPriority w:val="99"/>
    <w:unhideWhenUsed/>
    <w:rsid w:val="00A622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2B7"/>
  </w:style>
  <w:style w:type="paragraph" w:styleId="Textodeglobo">
    <w:name w:val="Balloon Text"/>
    <w:basedOn w:val="Normal"/>
    <w:link w:val="TextodegloboCar"/>
    <w:uiPriority w:val="99"/>
    <w:semiHidden/>
    <w:unhideWhenUsed/>
    <w:rsid w:val="00A622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2B7"/>
    <w:rPr>
      <w:rFonts w:ascii="Tahoma" w:hAnsi="Tahoma" w:cs="Tahoma"/>
      <w:sz w:val="16"/>
      <w:szCs w:val="16"/>
    </w:rPr>
  </w:style>
  <w:style w:type="table" w:styleId="Tablaconcuadrcula">
    <w:name w:val="Table Grid"/>
    <w:basedOn w:val="Tablanormal"/>
    <w:uiPriority w:val="59"/>
    <w:rsid w:val="00A6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00960"/>
    <w:pPr>
      <w:ind w:left="720"/>
      <w:contextualSpacing/>
    </w:pPr>
  </w:style>
  <w:style w:type="character" w:customStyle="1" w:styleId="PrrafodelistaCar">
    <w:name w:val="Párrafo de lista Car"/>
    <w:basedOn w:val="Fuentedeprrafopredeter"/>
    <w:link w:val="Prrafodelista"/>
    <w:uiPriority w:val="34"/>
    <w:rsid w:val="00AA712C"/>
  </w:style>
  <w:style w:type="paragraph" w:customStyle="1" w:styleId="Default">
    <w:name w:val="Default"/>
    <w:rsid w:val="00F565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B7"/>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22B7"/>
    <w:pPr>
      <w:tabs>
        <w:tab w:val="center" w:pos="4252"/>
        <w:tab w:val="right" w:pos="8504"/>
      </w:tabs>
      <w:spacing w:line="240" w:lineRule="auto"/>
    </w:pPr>
  </w:style>
  <w:style w:type="character" w:customStyle="1" w:styleId="EncabezadoCar">
    <w:name w:val="Encabezado Car"/>
    <w:basedOn w:val="Fuentedeprrafopredeter"/>
    <w:link w:val="Encabezado"/>
    <w:rsid w:val="00A622B7"/>
  </w:style>
  <w:style w:type="paragraph" w:styleId="Piedepgina">
    <w:name w:val="footer"/>
    <w:basedOn w:val="Normal"/>
    <w:link w:val="PiedepginaCar"/>
    <w:uiPriority w:val="99"/>
    <w:unhideWhenUsed/>
    <w:rsid w:val="00A622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2B7"/>
  </w:style>
  <w:style w:type="paragraph" w:styleId="Textodeglobo">
    <w:name w:val="Balloon Text"/>
    <w:basedOn w:val="Normal"/>
    <w:link w:val="TextodegloboCar"/>
    <w:uiPriority w:val="99"/>
    <w:semiHidden/>
    <w:unhideWhenUsed/>
    <w:rsid w:val="00A622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2B7"/>
    <w:rPr>
      <w:rFonts w:ascii="Tahoma" w:hAnsi="Tahoma" w:cs="Tahoma"/>
      <w:sz w:val="16"/>
      <w:szCs w:val="16"/>
    </w:rPr>
  </w:style>
  <w:style w:type="table" w:styleId="Tablaconcuadrcula">
    <w:name w:val="Table Grid"/>
    <w:basedOn w:val="Tablanormal"/>
    <w:uiPriority w:val="59"/>
    <w:rsid w:val="00A6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00960"/>
    <w:pPr>
      <w:ind w:left="720"/>
      <w:contextualSpacing/>
    </w:pPr>
  </w:style>
  <w:style w:type="character" w:customStyle="1" w:styleId="PrrafodelistaCar">
    <w:name w:val="Párrafo de lista Car"/>
    <w:basedOn w:val="Fuentedeprrafopredeter"/>
    <w:link w:val="Prrafodelista"/>
    <w:uiPriority w:val="34"/>
    <w:rsid w:val="00AA712C"/>
  </w:style>
  <w:style w:type="paragraph" w:customStyle="1" w:styleId="Default">
    <w:name w:val="Default"/>
    <w:rsid w:val="00F565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11">
      <w:bodyDiv w:val="1"/>
      <w:marLeft w:val="0"/>
      <w:marRight w:val="0"/>
      <w:marTop w:val="0"/>
      <w:marBottom w:val="0"/>
      <w:divBdr>
        <w:top w:val="none" w:sz="0" w:space="0" w:color="auto"/>
        <w:left w:val="none" w:sz="0" w:space="0" w:color="auto"/>
        <w:bottom w:val="none" w:sz="0" w:space="0" w:color="auto"/>
        <w:right w:val="none" w:sz="0" w:space="0" w:color="auto"/>
      </w:divBdr>
    </w:div>
    <w:div w:id="58986085">
      <w:bodyDiv w:val="1"/>
      <w:marLeft w:val="0"/>
      <w:marRight w:val="0"/>
      <w:marTop w:val="0"/>
      <w:marBottom w:val="0"/>
      <w:divBdr>
        <w:top w:val="none" w:sz="0" w:space="0" w:color="auto"/>
        <w:left w:val="none" w:sz="0" w:space="0" w:color="auto"/>
        <w:bottom w:val="none" w:sz="0" w:space="0" w:color="auto"/>
        <w:right w:val="none" w:sz="0" w:space="0" w:color="auto"/>
      </w:divBdr>
    </w:div>
    <w:div w:id="126316841">
      <w:bodyDiv w:val="1"/>
      <w:marLeft w:val="0"/>
      <w:marRight w:val="0"/>
      <w:marTop w:val="0"/>
      <w:marBottom w:val="0"/>
      <w:divBdr>
        <w:top w:val="none" w:sz="0" w:space="0" w:color="auto"/>
        <w:left w:val="none" w:sz="0" w:space="0" w:color="auto"/>
        <w:bottom w:val="none" w:sz="0" w:space="0" w:color="auto"/>
        <w:right w:val="none" w:sz="0" w:space="0" w:color="auto"/>
      </w:divBdr>
    </w:div>
    <w:div w:id="143937065">
      <w:bodyDiv w:val="1"/>
      <w:marLeft w:val="0"/>
      <w:marRight w:val="0"/>
      <w:marTop w:val="0"/>
      <w:marBottom w:val="0"/>
      <w:divBdr>
        <w:top w:val="none" w:sz="0" w:space="0" w:color="auto"/>
        <w:left w:val="none" w:sz="0" w:space="0" w:color="auto"/>
        <w:bottom w:val="none" w:sz="0" w:space="0" w:color="auto"/>
        <w:right w:val="none" w:sz="0" w:space="0" w:color="auto"/>
      </w:divBdr>
    </w:div>
    <w:div w:id="214896495">
      <w:bodyDiv w:val="1"/>
      <w:marLeft w:val="0"/>
      <w:marRight w:val="0"/>
      <w:marTop w:val="0"/>
      <w:marBottom w:val="0"/>
      <w:divBdr>
        <w:top w:val="none" w:sz="0" w:space="0" w:color="auto"/>
        <w:left w:val="none" w:sz="0" w:space="0" w:color="auto"/>
        <w:bottom w:val="none" w:sz="0" w:space="0" w:color="auto"/>
        <w:right w:val="none" w:sz="0" w:space="0" w:color="auto"/>
      </w:divBdr>
    </w:div>
    <w:div w:id="509611932">
      <w:bodyDiv w:val="1"/>
      <w:marLeft w:val="0"/>
      <w:marRight w:val="0"/>
      <w:marTop w:val="0"/>
      <w:marBottom w:val="0"/>
      <w:divBdr>
        <w:top w:val="none" w:sz="0" w:space="0" w:color="auto"/>
        <w:left w:val="none" w:sz="0" w:space="0" w:color="auto"/>
        <w:bottom w:val="none" w:sz="0" w:space="0" w:color="auto"/>
        <w:right w:val="none" w:sz="0" w:space="0" w:color="auto"/>
      </w:divBdr>
    </w:div>
    <w:div w:id="537740443">
      <w:bodyDiv w:val="1"/>
      <w:marLeft w:val="0"/>
      <w:marRight w:val="0"/>
      <w:marTop w:val="0"/>
      <w:marBottom w:val="0"/>
      <w:divBdr>
        <w:top w:val="none" w:sz="0" w:space="0" w:color="auto"/>
        <w:left w:val="none" w:sz="0" w:space="0" w:color="auto"/>
        <w:bottom w:val="none" w:sz="0" w:space="0" w:color="auto"/>
        <w:right w:val="none" w:sz="0" w:space="0" w:color="auto"/>
      </w:divBdr>
    </w:div>
    <w:div w:id="650863384">
      <w:bodyDiv w:val="1"/>
      <w:marLeft w:val="0"/>
      <w:marRight w:val="0"/>
      <w:marTop w:val="0"/>
      <w:marBottom w:val="0"/>
      <w:divBdr>
        <w:top w:val="none" w:sz="0" w:space="0" w:color="auto"/>
        <w:left w:val="none" w:sz="0" w:space="0" w:color="auto"/>
        <w:bottom w:val="none" w:sz="0" w:space="0" w:color="auto"/>
        <w:right w:val="none" w:sz="0" w:space="0" w:color="auto"/>
      </w:divBdr>
    </w:div>
    <w:div w:id="836116864">
      <w:bodyDiv w:val="1"/>
      <w:marLeft w:val="0"/>
      <w:marRight w:val="0"/>
      <w:marTop w:val="0"/>
      <w:marBottom w:val="0"/>
      <w:divBdr>
        <w:top w:val="none" w:sz="0" w:space="0" w:color="auto"/>
        <w:left w:val="none" w:sz="0" w:space="0" w:color="auto"/>
        <w:bottom w:val="none" w:sz="0" w:space="0" w:color="auto"/>
        <w:right w:val="none" w:sz="0" w:space="0" w:color="auto"/>
      </w:divBdr>
    </w:div>
    <w:div w:id="995575980">
      <w:bodyDiv w:val="1"/>
      <w:marLeft w:val="0"/>
      <w:marRight w:val="0"/>
      <w:marTop w:val="0"/>
      <w:marBottom w:val="0"/>
      <w:divBdr>
        <w:top w:val="none" w:sz="0" w:space="0" w:color="auto"/>
        <w:left w:val="none" w:sz="0" w:space="0" w:color="auto"/>
        <w:bottom w:val="none" w:sz="0" w:space="0" w:color="auto"/>
        <w:right w:val="none" w:sz="0" w:space="0" w:color="auto"/>
      </w:divBdr>
    </w:div>
    <w:div w:id="1165708183">
      <w:bodyDiv w:val="1"/>
      <w:marLeft w:val="0"/>
      <w:marRight w:val="0"/>
      <w:marTop w:val="0"/>
      <w:marBottom w:val="0"/>
      <w:divBdr>
        <w:top w:val="none" w:sz="0" w:space="0" w:color="auto"/>
        <w:left w:val="none" w:sz="0" w:space="0" w:color="auto"/>
        <w:bottom w:val="none" w:sz="0" w:space="0" w:color="auto"/>
        <w:right w:val="none" w:sz="0" w:space="0" w:color="auto"/>
      </w:divBdr>
    </w:div>
    <w:div w:id="1333024480">
      <w:bodyDiv w:val="1"/>
      <w:marLeft w:val="0"/>
      <w:marRight w:val="0"/>
      <w:marTop w:val="0"/>
      <w:marBottom w:val="0"/>
      <w:divBdr>
        <w:top w:val="none" w:sz="0" w:space="0" w:color="auto"/>
        <w:left w:val="none" w:sz="0" w:space="0" w:color="auto"/>
        <w:bottom w:val="none" w:sz="0" w:space="0" w:color="auto"/>
        <w:right w:val="none" w:sz="0" w:space="0" w:color="auto"/>
      </w:divBdr>
    </w:div>
    <w:div w:id="1368945163">
      <w:bodyDiv w:val="1"/>
      <w:marLeft w:val="0"/>
      <w:marRight w:val="0"/>
      <w:marTop w:val="0"/>
      <w:marBottom w:val="0"/>
      <w:divBdr>
        <w:top w:val="none" w:sz="0" w:space="0" w:color="auto"/>
        <w:left w:val="none" w:sz="0" w:space="0" w:color="auto"/>
        <w:bottom w:val="none" w:sz="0" w:space="0" w:color="auto"/>
        <w:right w:val="none" w:sz="0" w:space="0" w:color="auto"/>
      </w:divBdr>
    </w:div>
    <w:div w:id="1451507005">
      <w:bodyDiv w:val="1"/>
      <w:marLeft w:val="0"/>
      <w:marRight w:val="0"/>
      <w:marTop w:val="0"/>
      <w:marBottom w:val="0"/>
      <w:divBdr>
        <w:top w:val="none" w:sz="0" w:space="0" w:color="auto"/>
        <w:left w:val="none" w:sz="0" w:space="0" w:color="auto"/>
        <w:bottom w:val="none" w:sz="0" w:space="0" w:color="auto"/>
        <w:right w:val="none" w:sz="0" w:space="0" w:color="auto"/>
      </w:divBdr>
    </w:div>
    <w:div w:id="1619797297">
      <w:bodyDiv w:val="1"/>
      <w:marLeft w:val="0"/>
      <w:marRight w:val="0"/>
      <w:marTop w:val="0"/>
      <w:marBottom w:val="0"/>
      <w:divBdr>
        <w:top w:val="none" w:sz="0" w:space="0" w:color="auto"/>
        <w:left w:val="none" w:sz="0" w:space="0" w:color="auto"/>
        <w:bottom w:val="none" w:sz="0" w:space="0" w:color="auto"/>
        <w:right w:val="none" w:sz="0" w:space="0" w:color="auto"/>
      </w:divBdr>
    </w:div>
    <w:div w:id="1632634626">
      <w:bodyDiv w:val="1"/>
      <w:marLeft w:val="0"/>
      <w:marRight w:val="0"/>
      <w:marTop w:val="0"/>
      <w:marBottom w:val="0"/>
      <w:divBdr>
        <w:top w:val="none" w:sz="0" w:space="0" w:color="auto"/>
        <w:left w:val="none" w:sz="0" w:space="0" w:color="auto"/>
        <w:bottom w:val="none" w:sz="0" w:space="0" w:color="auto"/>
        <w:right w:val="none" w:sz="0" w:space="0" w:color="auto"/>
      </w:divBdr>
    </w:div>
    <w:div w:id="1667778266">
      <w:bodyDiv w:val="1"/>
      <w:marLeft w:val="0"/>
      <w:marRight w:val="0"/>
      <w:marTop w:val="0"/>
      <w:marBottom w:val="0"/>
      <w:divBdr>
        <w:top w:val="none" w:sz="0" w:space="0" w:color="auto"/>
        <w:left w:val="none" w:sz="0" w:space="0" w:color="auto"/>
        <w:bottom w:val="none" w:sz="0" w:space="0" w:color="auto"/>
        <w:right w:val="none" w:sz="0" w:space="0" w:color="auto"/>
      </w:divBdr>
    </w:div>
    <w:div w:id="1730379728">
      <w:bodyDiv w:val="1"/>
      <w:marLeft w:val="0"/>
      <w:marRight w:val="0"/>
      <w:marTop w:val="0"/>
      <w:marBottom w:val="0"/>
      <w:divBdr>
        <w:top w:val="none" w:sz="0" w:space="0" w:color="auto"/>
        <w:left w:val="none" w:sz="0" w:space="0" w:color="auto"/>
        <w:bottom w:val="none" w:sz="0" w:space="0" w:color="auto"/>
        <w:right w:val="none" w:sz="0" w:space="0" w:color="auto"/>
      </w:divBdr>
    </w:div>
    <w:div w:id="1787308557">
      <w:bodyDiv w:val="1"/>
      <w:marLeft w:val="0"/>
      <w:marRight w:val="0"/>
      <w:marTop w:val="0"/>
      <w:marBottom w:val="0"/>
      <w:divBdr>
        <w:top w:val="none" w:sz="0" w:space="0" w:color="auto"/>
        <w:left w:val="none" w:sz="0" w:space="0" w:color="auto"/>
        <w:bottom w:val="none" w:sz="0" w:space="0" w:color="auto"/>
        <w:right w:val="none" w:sz="0" w:space="0" w:color="auto"/>
      </w:divBdr>
    </w:div>
    <w:div w:id="1833444827">
      <w:bodyDiv w:val="1"/>
      <w:marLeft w:val="0"/>
      <w:marRight w:val="0"/>
      <w:marTop w:val="0"/>
      <w:marBottom w:val="0"/>
      <w:divBdr>
        <w:top w:val="none" w:sz="0" w:space="0" w:color="auto"/>
        <w:left w:val="none" w:sz="0" w:space="0" w:color="auto"/>
        <w:bottom w:val="none" w:sz="0" w:space="0" w:color="auto"/>
        <w:right w:val="none" w:sz="0" w:space="0" w:color="auto"/>
      </w:divBdr>
    </w:div>
    <w:div w:id="1981231808">
      <w:bodyDiv w:val="1"/>
      <w:marLeft w:val="0"/>
      <w:marRight w:val="0"/>
      <w:marTop w:val="0"/>
      <w:marBottom w:val="0"/>
      <w:divBdr>
        <w:top w:val="none" w:sz="0" w:space="0" w:color="auto"/>
        <w:left w:val="none" w:sz="0" w:space="0" w:color="auto"/>
        <w:bottom w:val="none" w:sz="0" w:space="0" w:color="auto"/>
        <w:right w:val="none" w:sz="0" w:space="0" w:color="auto"/>
      </w:divBdr>
    </w:div>
    <w:div w:id="2071226173">
      <w:bodyDiv w:val="1"/>
      <w:marLeft w:val="0"/>
      <w:marRight w:val="0"/>
      <w:marTop w:val="0"/>
      <w:marBottom w:val="0"/>
      <w:divBdr>
        <w:top w:val="none" w:sz="0" w:space="0" w:color="auto"/>
        <w:left w:val="none" w:sz="0" w:space="0" w:color="auto"/>
        <w:bottom w:val="none" w:sz="0" w:space="0" w:color="auto"/>
        <w:right w:val="none" w:sz="0" w:space="0" w:color="auto"/>
      </w:divBdr>
    </w:div>
    <w:div w:id="21289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E463F-4A99-4B3C-963D-1983D9AC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118</cp:revision>
  <cp:lastPrinted>2014-09-03T08:41:00Z</cp:lastPrinted>
  <dcterms:created xsi:type="dcterms:W3CDTF">2014-09-15T08:39:00Z</dcterms:created>
  <dcterms:modified xsi:type="dcterms:W3CDTF">2015-10-02T10:08:00Z</dcterms:modified>
</cp:coreProperties>
</file>