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61" w:rsidRDefault="00D61161"/>
    <w:tbl>
      <w:tblPr>
        <w:tblStyle w:val="Tablaconcuadrcula"/>
        <w:tblW w:w="9889" w:type="dxa"/>
        <w:tblLayout w:type="fixed"/>
        <w:tblLook w:val="04A0"/>
      </w:tblPr>
      <w:tblGrid>
        <w:gridCol w:w="1809"/>
        <w:gridCol w:w="426"/>
        <w:gridCol w:w="2409"/>
        <w:gridCol w:w="5245"/>
      </w:tblGrid>
      <w:tr w:rsidR="000836F0" w:rsidTr="00B456C9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36F0" w:rsidRPr="006E0748" w:rsidRDefault="000836F0" w:rsidP="00E3348B">
            <w:pPr>
              <w:jc w:val="center"/>
            </w:pPr>
            <w:r w:rsidRPr="006E0748">
              <w:rPr>
                <w:rFonts w:ascii="Calibri" w:hAnsi="Calibri"/>
                <w:b/>
              </w:rPr>
              <w:t>INFORME DE AUDITORÍA INTERNA</w:t>
            </w:r>
            <w:r w:rsidR="00660D83">
              <w:rPr>
                <w:rFonts w:ascii="Calibri" w:hAnsi="Calibri"/>
                <w:b/>
              </w:rPr>
              <w:t xml:space="preserve"> DE SEGUIMIENTO</w:t>
            </w:r>
            <w:r w:rsidRPr="006E0748">
              <w:rPr>
                <w:rFonts w:ascii="Calibri" w:hAnsi="Calibri"/>
                <w:b/>
              </w:rPr>
              <w:t xml:space="preserve"> ANUAL 201</w:t>
            </w:r>
            <w:r w:rsidR="00E3348B">
              <w:rPr>
                <w:rFonts w:ascii="Calibri" w:hAnsi="Calibri"/>
                <w:b/>
              </w:rPr>
              <w:t>4</w:t>
            </w:r>
            <w:r w:rsidRPr="006E0748">
              <w:rPr>
                <w:rFonts w:ascii="Calibri" w:hAnsi="Calibri"/>
                <w:b/>
              </w:rPr>
              <w:t>.</w:t>
            </w:r>
          </w:p>
        </w:tc>
      </w:tr>
      <w:tr w:rsidR="008D06CF" w:rsidRPr="009C3E57" w:rsidTr="000A14DC">
        <w:trPr>
          <w:trHeight w:val="322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06CF" w:rsidRPr="006E0748" w:rsidRDefault="008D06CF" w:rsidP="00B97F47">
            <w:r w:rsidRPr="006E0748">
              <w:rPr>
                <w:b/>
              </w:rPr>
              <w:t>PROCESO</w:t>
            </w:r>
            <w:r w:rsidRPr="006E0748">
              <w:t xml:space="preserve"> </w:t>
            </w:r>
            <w:r w:rsidRPr="006E0748">
              <w:rPr>
                <w:b/>
              </w:rPr>
              <w:t>CLAVE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06CF" w:rsidRPr="00FC002E" w:rsidRDefault="00152644" w:rsidP="00277090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8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 LA PRESTACIÓN DE SERVICIOS DE APOYO CIENTÍFICO TÉCNICO</w:t>
            </w:r>
            <w:r w:rsidRPr="001B7195">
              <w:rPr>
                <w:b/>
              </w:rPr>
              <w:t>.</w:t>
            </w:r>
          </w:p>
        </w:tc>
      </w:tr>
      <w:tr w:rsidR="006E0748" w:rsidRPr="000F576E" w:rsidTr="00B456C9">
        <w:tc>
          <w:tcPr>
            <w:tcW w:w="464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E0748" w:rsidRPr="006E0748" w:rsidRDefault="006E0748" w:rsidP="00B97F47">
            <w:r w:rsidRPr="006E0748">
              <w:rPr>
                <w:b/>
              </w:rPr>
              <w:t>FECHA</w:t>
            </w:r>
            <w:r>
              <w:rPr>
                <w:b/>
              </w:rPr>
              <w:t xml:space="preserve"> DE REALIZACIÓN DE LA AUDITORÍA</w:t>
            </w:r>
            <w:r w:rsidRPr="006E0748">
              <w:rPr>
                <w:b/>
              </w:rPr>
              <w:t xml:space="preserve">: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E0748" w:rsidRPr="006E0748" w:rsidRDefault="0053707A" w:rsidP="00152644">
            <w:r>
              <w:t>1</w:t>
            </w:r>
            <w:r w:rsidR="00152644">
              <w:t>5</w:t>
            </w:r>
            <w:r>
              <w:t>/</w:t>
            </w:r>
            <w:r w:rsidR="00152644">
              <w:t>10</w:t>
            </w:r>
            <w:r>
              <w:t>/14</w:t>
            </w:r>
          </w:p>
        </w:tc>
      </w:tr>
      <w:tr w:rsidR="006E0748" w:rsidRPr="006E0748" w:rsidTr="00B74726">
        <w:trPr>
          <w:trHeight w:val="845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:rsidR="006E0748" w:rsidRPr="006E0748" w:rsidRDefault="00B456C9" w:rsidP="00B456C9">
            <w:r>
              <w:rPr>
                <w:b/>
              </w:rPr>
              <w:t>AUDITORES</w:t>
            </w:r>
            <w:r w:rsidR="006E0748" w:rsidRPr="006E074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7654" w:type="dxa"/>
            <w:gridSpan w:val="2"/>
          </w:tcPr>
          <w:p w:rsidR="00B74726" w:rsidRPr="008D06CF" w:rsidRDefault="003E5898" w:rsidP="00B74726">
            <w:pPr>
              <w:numPr>
                <w:ilvl w:val="0"/>
                <w:numId w:val="4"/>
              </w:numPr>
            </w:pPr>
            <w:r w:rsidRPr="008D06CF">
              <w:t>Luis Espinosa de los Monteros Moreno</w:t>
            </w:r>
            <w:r w:rsidR="00A92B4C" w:rsidRPr="008D06CF">
              <w:t>.</w:t>
            </w:r>
            <w:r w:rsidRPr="008D06CF">
              <w:t xml:space="preserve"> </w:t>
            </w:r>
            <w:r w:rsidR="00A92B4C" w:rsidRPr="008D06CF">
              <w:t xml:space="preserve"> </w:t>
            </w:r>
            <w:r w:rsidR="0003401F" w:rsidRPr="008D06CF">
              <w:t>Auditor Coordinador del Proceso</w:t>
            </w:r>
            <w:r w:rsidR="00B74726" w:rsidRPr="008D06CF">
              <w:t>.</w:t>
            </w:r>
          </w:p>
          <w:p w:rsidR="00E51BC3" w:rsidRPr="008D06CF" w:rsidRDefault="003E5898" w:rsidP="0031161F">
            <w:pPr>
              <w:numPr>
                <w:ilvl w:val="0"/>
                <w:numId w:val="4"/>
              </w:numPr>
            </w:pPr>
            <w:r w:rsidRPr="008D06CF">
              <w:t>Luis Espinosa de los Monteros Moreno</w:t>
            </w:r>
            <w:r w:rsidR="00AB6534" w:rsidRPr="008D06CF">
              <w:t xml:space="preserve">. </w:t>
            </w:r>
            <w:r w:rsidR="00A92B4C" w:rsidRPr="008D06CF">
              <w:t>Auditor.</w:t>
            </w:r>
          </w:p>
        </w:tc>
      </w:tr>
      <w:tr w:rsidR="00B456C9" w:rsidRPr="006E0748" w:rsidTr="006E6F9A">
        <w:trPr>
          <w:trHeight w:val="982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:rsidR="00B456C9" w:rsidRPr="006E0748" w:rsidRDefault="00B456C9" w:rsidP="00EB52A8">
            <w:r>
              <w:rPr>
                <w:b/>
              </w:rPr>
              <w:t>RESPONSABLES DE UNIDAD:</w:t>
            </w:r>
          </w:p>
        </w:tc>
        <w:tc>
          <w:tcPr>
            <w:tcW w:w="7654" w:type="dxa"/>
            <w:gridSpan w:val="2"/>
            <w:vAlign w:val="center"/>
          </w:tcPr>
          <w:p w:rsidR="00B456C9" w:rsidRPr="000F1E78" w:rsidRDefault="0053707A" w:rsidP="0053707A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t>Marina Gómez Torres.</w:t>
            </w:r>
            <w:r w:rsidR="00FC002E">
              <w:t xml:space="preserve"> </w:t>
            </w:r>
            <w:r w:rsidR="003E5898">
              <w:t xml:space="preserve"> </w:t>
            </w:r>
            <w:r>
              <w:t>Unidad Funcional de Técnicos de Laboratorios de Apoyo a Departamentos, Institutos y Centros de Investigación.</w:t>
            </w:r>
          </w:p>
        </w:tc>
      </w:tr>
    </w:tbl>
    <w:p w:rsidR="00907D79" w:rsidRDefault="00907D79" w:rsidP="00BB07E5">
      <w:pPr>
        <w:rPr>
          <w:b/>
        </w:rPr>
      </w:pPr>
    </w:p>
    <w:p w:rsidR="00BB07E5" w:rsidRDefault="00BB07E5" w:rsidP="00BB07E5">
      <w:pPr>
        <w:rPr>
          <w:b/>
        </w:rPr>
      </w:pPr>
      <w:r>
        <w:rPr>
          <w:b/>
        </w:rPr>
        <w:t>INFORME GENERAL</w:t>
      </w:r>
    </w:p>
    <w:p w:rsidR="00D61161" w:rsidRDefault="00D61161" w:rsidP="00BB07E5">
      <w:pPr>
        <w:rPr>
          <w:b/>
        </w:rPr>
      </w:pPr>
    </w:p>
    <w:tbl>
      <w:tblPr>
        <w:tblStyle w:val="Tablaconcuadrcula"/>
        <w:tblW w:w="9892" w:type="dxa"/>
        <w:tblLayout w:type="fixed"/>
        <w:tblLook w:val="04A0"/>
      </w:tblPr>
      <w:tblGrid>
        <w:gridCol w:w="1951"/>
        <w:gridCol w:w="7941"/>
      </w:tblGrid>
      <w:tr w:rsidR="0003401F" w:rsidRPr="006E0748" w:rsidTr="008574EB">
        <w:trPr>
          <w:trHeight w:val="423"/>
        </w:trPr>
        <w:tc>
          <w:tcPr>
            <w:tcW w:w="98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401F" w:rsidRPr="006E0748" w:rsidRDefault="0003401F" w:rsidP="00F41C5C">
            <w:pPr>
              <w:jc w:val="center"/>
              <w:rPr>
                <w:color w:val="365F91" w:themeColor="accent1" w:themeShade="BF"/>
              </w:rPr>
            </w:pPr>
            <w:r>
              <w:rPr>
                <w:b/>
              </w:rPr>
              <w:t xml:space="preserve">OBJETIVOS DE </w:t>
            </w:r>
            <w:r w:rsidR="008574EB">
              <w:rPr>
                <w:b/>
              </w:rPr>
              <w:t>AUDITORÍA:</w:t>
            </w:r>
            <w:r w:rsidR="00F41C5C">
              <w:rPr>
                <w:b/>
              </w:rPr>
              <w:t xml:space="preserve"> AUDITORÍA DE SISTEMA/PROCESOS</w:t>
            </w:r>
          </w:p>
        </w:tc>
      </w:tr>
      <w:tr w:rsidR="00BB07E5" w:rsidRPr="006E0748" w:rsidTr="008574EB">
        <w:trPr>
          <w:trHeight w:val="423"/>
        </w:trPr>
        <w:tc>
          <w:tcPr>
            <w:tcW w:w="1951" w:type="dxa"/>
            <w:vAlign w:val="center"/>
          </w:tcPr>
          <w:p w:rsidR="00BB07E5" w:rsidRPr="006E0748" w:rsidRDefault="00BB07E5" w:rsidP="00BB07E5">
            <w:pPr>
              <w:rPr>
                <w:color w:val="365F91" w:themeColor="accent1" w:themeShade="BF"/>
              </w:rPr>
            </w:pPr>
            <w:r>
              <w:rPr>
                <w:b/>
              </w:rPr>
              <w:t xml:space="preserve">Procesos de la </w:t>
            </w:r>
            <w:r w:rsidRPr="00BB07E5">
              <w:rPr>
                <w:b/>
              </w:rPr>
              <w:t>Unidad</w:t>
            </w:r>
          </w:p>
        </w:tc>
        <w:tc>
          <w:tcPr>
            <w:tcW w:w="7941" w:type="dxa"/>
            <w:vAlign w:val="center"/>
          </w:tcPr>
          <w:p w:rsidR="00BB07E5" w:rsidRPr="0053707A" w:rsidRDefault="0053707A" w:rsidP="006E6F9A">
            <w:pPr>
              <w:rPr>
                <w:b/>
              </w:rPr>
            </w:pPr>
            <w:r w:rsidRPr="0053707A">
              <w:rPr>
                <w:b/>
              </w:rPr>
              <w:t>Unidad Funcional de Técnicos de Laboratorios de Apoyo a Departamentos, Institutos y Centros de Investigación.</w:t>
            </w:r>
          </w:p>
        </w:tc>
      </w:tr>
      <w:tr w:rsidR="00B168D6" w:rsidRPr="00BB07E5" w:rsidTr="00DF5AFB">
        <w:trPr>
          <w:trHeight w:val="423"/>
        </w:trPr>
        <w:tc>
          <w:tcPr>
            <w:tcW w:w="9892" w:type="dxa"/>
            <w:gridSpan w:val="2"/>
            <w:vAlign w:val="center"/>
          </w:tcPr>
          <w:p w:rsidR="00B168D6" w:rsidRPr="00BB07E5" w:rsidRDefault="00B168D6" w:rsidP="00B168D6">
            <w:r>
              <w:rPr>
                <w:b/>
              </w:rPr>
              <w:t xml:space="preserve">No conformidades. </w:t>
            </w:r>
            <w:r w:rsidRPr="001F1644">
              <w:rPr>
                <w:rFonts w:ascii="Calibri" w:eastAsia="Calibri" w:hAnsi="Calibri"/>
              </w:rPr>
              <w:t xml:space="preserve">Verificación </w:t>
            </w:r>
            <w:r>
              <w:rPr>
                <w:rFonts w:ascii="Calibri" w:eastAsia="Calibri" w:hAnsi="Calibri"/>
              </w:rPr>
              <w:t>y cierre de las correcciones, acciones correctivas y acciones preventivas de los planes correspondientes de las No conformidades internas.</w:t>
            </w:r>
          </w:p>
        </w:tc>
      </w:tr>
      <w:tr w:rsidR="00B168D6" w:rsidTr="00DF5AFB">
        <w:tc>
          <w:tcPr>
            <w:tcW w:w="1951" w:type="dxa"/>
          </w:tcPr>
          <w:p w:rsidR="00B168D6" w:rsidRPr="008574EB" w:rsidRDefault="00B168D6" w:rsidP="00DF5AFB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B168D6" w:rsidRDefault="00C75D53" w:rsidP="00DF5AFB">
            <w:pPr>
              <w:pStyle w:val="Prrafodelista"/>
              <w:numPr>
                <w:ilvl w:val="0"/>
                <w:numId w:val="14"/>
              </w:numPr>
            </w:pPr>
            <w:r>
              <w:t>No disponen de No conformidades Internas.</w:t>
            </w:r>
          </w:p>
        </w:tc>
      </w:tr>
      <w:tr w:rsidR="008574EB" w:rsidRPr="00BB07E5" w:rsidTr="00717BEB">
        <w:trPr>
          <w:trHeight w:val="423"/>
        </w:trPr>
        <w:tc>
          <w:tcPr>
            <w:tcW w:w="9892" w:type="dxa"/>
            <w:gridSpan w:val="2"/>
            <w:vAlign w:val="center"/>
          </w:tcPr>
          <w:p w:rsidR="008574EB" w:rsidRPr="00BB07E5" w:rsidRDefault="008574EB" w:rsidP="00774F35">
            <w:r>
              <w:rPr>
                <w:b/>
              </w:rPr>
              <w:t xml:space="preserve">Indicadores. </w:t>
            </w:r>
            <w:r w:rsidRPr="001F1644">
              <w:rPr>
                <w:rFonts w:ascii="Calibri" w:eastAsia="Calibri" w:hAnsi="Calibri"/>
              </w:rPr>
              <w:t xml:space="preserve">Verificación de las mediciones periódicas de los </w:t>
            </w:r>
            <w:r w:rsidRPr="008574EB">
              <w:rPr>
                <w:rFonts w:ascii="Calibri" w:eastAsia="Calibri" w:hAnsi="Calibri"/>
              </w:rPr>
              <w:t>indicadores</w:t>
            </w:r>
            <w:r w:rsidRPr="001F1644">
              <w:rPr>
                <w:rFonts w:ascii="Calibri" w:eastAsia="Calibri" w:hAnsi="Calibri"/>
              </w:rPr>
              <w:t xml:space="preserve"> </w:t>
            </w:r>
            <w:r w:rsidR="00F41C5C">
              <w:rPr>
                <w:rFonts w:ascii="Calibri" w:eastAsia="Calibri" w:hAnsi="Calibri"/>
              </w:rPr>
              <w:t xml:space="preserve">que procedan </w:t>
            </w:r>
            <w:r w:rsidRPr="001F1644">
              <w:rPr>
                <w:rFonts w:ascii="Calibri" w:eastAsia="Calibri" w:hAnsi="Calibri"/>
              </w:rPr>
              <w:t>según la fecha de auditoría</w:t>
            </w:r>
            <w:r w:rsidR="00774F35">
              <w:rPr>
                <w:rFonts w:ascii="Calibri" w:eastAsia="Calibri" w:hAnsi="Calibri"/>
              </w:rPr>
              <w:t>.</w:t>
            </w:r>
          </w:p>
        </w:tc>
      </w:tr>
      <w:tr w:rsidR="008574EB" w:rsidTr="008574EB">
        <w:tc>
          <w:tcPr>
            <w:tcW w:w="1951" w:type="dxa"/>
          </w:tcPr>
          <w:p w:rsidR="008574EB" w:rsidRPr="008574EB" w:rsidRDefault="008574EB" w:rsidP="00747FCE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8574EB" w:rsidRDefault="00123C15" w:rsidP="00774F35">
            <w:pPr>
              <w:pStyle w:val="Prrafodelista"/>
              <w:numPr>
                <w:ilvl w:val="0"/>
                <w:numId w:val="14"/>
              </w:numPr>
            </w:pPr>
            <w:r w:rsidRPr="002E2935">
              <w:t xml:space="preserve">Se verifica </w:t>
            </w:r>
            <w:r>
              <w:t>que, de forma general, la Unidad ha realizado las mediciones periódicas de los indicadores del proceso  de acuerdo con la planificación de sus fichas de indicadores y el cumplimiento de los valores objetivos establecidos.</w:t>
            </w:r>
          </w:p>
        </w:tc>
      </w:tr>
      <w:tr w:rsidR="00F41C5C" w:rsidTr="008574EB">
        <w:tc>
          <w:tcPr>
            <w:tcW w:w="1951" w:type="dxa"/>
          </w:tcPr>
          <w:p w:rsidR="00F41C5C" w:rsidRPr="008574EB" w:rsidRDefault="00F41C5C" w:rsidP="00747FCE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F41C5C" w:rsidRDefault="00F41C5C" w:rsidP="00747FCE"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F41C5C" w:rsidRDefault="00152644" w:rsidP="0031161F">
            <w:pPr>
              <w:pStyle w:val="Prrafodelista"/>
              <w:numPr>
                <w:ilvl w:val="0"/>
                <w:numId w:val="14"/>
              </w:numPr>
            </w:pPr>
            <w:r>
              <w:t xml:space="preserve">La Unidad del Departamento de Departamento de Enfermería el </w:t>
            </w:r>
            <w:r w:rsidRPr="0026313D">
              <w:t>indicador I</w:t>
            </w:r>
            <w:proofErr w:type="gramStart"/>
            <w:r w:rsidRPr="0026313D">
              <w:t>.[</w:t>
            </w:r>
            <w:proofErr w:type="gramEnd"/>
            <w:r w:rsidRPr="0026313D">
              <w:t>PC 08.2]-07 Porcentaje de adecuación funcional de recursos para prácticas docentes</w:t>
            </w:r>
            <w:r>
              <w:t xml:space="preserve"> actualmente no se alcanza el objetivo</w:t>
            </w:r>
            <w:r w:rsidR="00630669">
              <w:t xml:space="preserve">, </w:t>
            </w:r>
            <w:bookmarkStart w:id="0" w:name="_GoBack"/>
            <w:bookmarkEnd w:id="0"/>
            <w:r>
              <w:t xml:space="preserve"> aunque su previsión es de cumplimiento.</w:t>
            </w:r>
          </w:p>
        </w:tc>
      </w:tr>
      <w:tr w:rsidR="00F41C5C" w:rsidRPr="00BB07E5" w:rsidTr="008574EB">
        <w:trPr>
          <w:trHeight w:val="423"/>
        </w:trPr>
        <w:tc>
          <w:tcPr>
            <w:tcW w:w="9892" w:type="dxa"/>
            <w:gridSpan w:val="2"/>
            <w:vAlign w:val="center"/>
          </w:tcPr>
          <w:p w:rsidR="00F41C5C" w:rsidRPr="00BB07E5" w:rsidRDefault="00F41C5C" w:rsidP="009C6632">
            <w:r>
              <w:rPr>
                <w:rFonts w:ascii="Calibri" w:hAnsi="Calibri"/>
                <w:b/>
              </w:rPr>
              <w:t>Q</w:t>
            </w:r>
            <w:r w:rsidRPr="00750017">
              <w:rPr>
                <w:rFonts w:ascii="Calibri" w:hAnsi="Calibri"/>
                <w:b/>
              </w:rPr>
              <w:t>uejas y sugerencias</w:t>
            </w:r>
            <w:r>
              <w:rPr>
                <w:rFonts w:ascii="Calibri" w:hAnsi="Calibri"/>
                <w:b/>
              </w:rPr>
              <w:t>.</w:t>
            </w:r>
            <w:r w:rsidRPr="00033B6F">
              <w:rPr>
                <w:rFonts w:ascii="Calibri" w:hAnsi="Calibri"/>
              </w:rPr>
              <w:t xml:space="preserve"> Verificación de </w:t>
            </w:r>
            <w:r>
              <w:rPr>
                <w:rFonts w:ascii="Calibri" w:hAnsi="Calibri"/>
              </w:rPr>
              <w:t xml:space="preserve">la gestión </w:t>
            </w:r>
            <w:r w:rsidRPr="008574EB">
              <w:rPr>
                <w:rFonts w:ascii="Calibri" w:hAnsi="Calibri"/>
              </w:rPr>
              <w:t>de quejas y sugerencias</w:t>
            </w:r>
            <w:r w:rsidR="00314915">
              <w:rPr>
                <w:rFonts w:ascii="Calibri" w:hAnsi="Calibri"/>
              </w:rPr>
              <w:t xml:space="preserve"> y</w:t>
            </w:r>
            <w:r w:rsidRPr="00F41C5C">
              <w:rPr>
                <w:rFonts w:ascii="Calibri" w:hAnsi="Calibri"/>
              </w:rPr>
              <w:t>, en su caso, la propuesta  coherente de implantación de acciones de mejora en este ámbito.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F41C5C" w:rsidRDefault="00FC002E" w:rsidP="00853CE4">
            <w:pPr>
              <w:pStyle w:val="Prrafodelista"/>
              <w:numPr>
                <w:ilvl w:val="0"/>
                <w:numId w:val="14"/>
              </w:numPr>
            </w:pPr>
            <w:r>
              <w:t>No se han presentado Quejas / Sugerencias  tanto oficiales como informales.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F41C5C" w:rsidRDefault="00F41C5C" w:rsidP="009C6632"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F41C5C" w:rsidRDefault="00F41C5C" w:rsidP="00AA5457">
            <w:pPr>
              <w:pStyle w:val="Prrafodelista"/>
              <w:ind w:left="360"/>
            </w:pPr>
          </w:p>
          <w:p w:rsidR="00F41C5C" w:rsidRDefault="00F41C5C" w:rsidP="00F41C5C">
            <w:pPr>
              <w:pStyle w:val="Prrafodelista"/>
              <w:ind w:left="360"/>
            </w:pPr>
          </w:p>
        </w:tc>
      </w:tr>
      <w:tr w:rsidR="00F41C5C" w:rsidRPr="00BB07E5" w:rsidTr="009C6632">
        <w:trPr>
          <w:trHeight w:val="423"/>
        </w:trPr>
        <w:tc>
          <w:tcPr>
            <w:tcW w:w="9892" w:type="dxa"/>
            <w:gridSpan w:val="2"/>
            <w:vAlign w:val="center"/>
          </w:tcPr>
          <w:p w:rsidR="00F41C5C" w:rsidRPr="00BB07E5" w:rsidRDefault="00F41C5C" w:rsidP="00314915">
            <w:r>
              <w:rPr>
                <w:rFonts w:ascii="Calibri" w:eastAsia="Calibri" w:hAnsi="Calibri"/>
                <w:b/>
              </w:rPr>
              <w:t>Compromisos de calidad incumplidos</w:t>
            </w:r>
            <w:r w:rsidRPr="001F1644">
              <w:rPr>
                <w:rFonts w:ascii="Calibri" w:eastAsia="Calibri" w:hAnsi="Calibri"/>
              </w:rPr>
              <w:t xml:space="preserve">. Verificación de las </w:t>
            </w:r>
            <w:r>
              <w:rPr>
                <w:rFonts w:ascii="Calibri" w:eastAsia="Calibri" w:hAnsi="Calibri"/>
              </w:rPr>
              <w:t xml:space="preserve">mejoras implantadas en relación con los compromisos de calidad incumplidos en el ciclo </w:t>
            </w:r>
            <w:r w:rsidR="00314915">
              <w:rPr>
                <w:rFonts w:ascii="Calibri" w:eastAsia="Calibri" w:hAnsi="Calibri"/>
              </w:rPr>
              <w:t xml:space="preserve">de gestión </w:t>
            </w:r>
            <w:r>
              <w:rPr>
                <w:rFonts w:ascii="Calibri" w:eastAsia="Calibri" w:hAnsi="Calibri"/>
              </w:rPr>
              <w:t>anterior</w:t>
            </w:r>
            <w:r w:rsidR="00314915">
              <w:rPr>
                <w:rFonts w:ascii="Calibri" w:eastAsia="Calibri" w:hAnsi="Calibri"/>
              </w:rPr>
              <w:t>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F41C5C" w:rsidRDefault="00A238C0" w:rsidP="0031161F">
            <w:pPr>
              <w:pStyle w:val="Prrafodelista"/>
              <w:numPr>
                <w:ilvl w:val="0"/>
                <w:numId w:val="14"/>
              </w:numPr>
            </w:pPr>
            <w:r>
              <w:t>Se ha realizado varias acciones de mejora que han permitido ajustar la gestión del proceso en el programa</w:t>
            </w:r>
            <w:r w:rsidR="0031161F">
              <w:t xml:space="preserve"> de gestión </w:t>
            </w:r>
            <w:r>
              <w:t xml:space="preserve"> PETRUS: Cómputo de días laborables, </w:t>
            </w:r>
            <w:r w:rsidR="0031161F">
              <w:t>c</w:t>
            </w:r>
            <w:r>
              <w:t xml:space="preserve">urso de </w:t>
            </w:r>
            <w:r w:rsidR="0031161F">
              <w:t>f</w:t>
            </w:r>
            <w:r>
              <w:t xml:space="preserve">ormación al personal de la Unidad sobre la gestión del citado programa, además de la creación de un Grupo de trabajo para el </w:t>
            </w:r>
            <w:r w:rsidR="0031161F">
              <w:t>s</w:t>
            </w:r>
            <w:r>
              <w:t>eguimiento de los resultados de los indicadores.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F41C5C" w:rsidRDefault="00F41C5C" w:rsidP="009C6632"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F41C5C" w:rsidRDefault="00F41C5C" w:rsidP="00AA5457">
            <w:pPr>
              <w:pStyle w:val="Prrafodelista"/>
              <w:ind w:left="360"/>
            </w:pPr>
          </w:p>
          <w:p w:rsidR="00F41C5C" w:rsidRDefault="00F41C5C" w:rsidP="00F41C5C">
            <w:pPr>
              <w:pStyle w:val="Prrafodelista"/>
              <w:ind w:left="360"/>
            </w:pPr>
          </w:p>
        </w:tc>
      </w:tr>
      <w:tr w:rsidR="00F41C5C" w:rsidTr="00BA74CA">
        <w:tc>
          <w:tcPr>
            <w:tcW w:w="9892" w:type="dxa"/>
            <w:gridSpan w:val="2"/>
          </w:tcPr>
          <w:p w:rsidR="00F41C5C" w:rsidRPr="00F41C5C" w:rsidRDefault="00F41C5C" w:rsidP="00F41C5C">
            <w:r w:rsidRPr="00F41C5C">
              <w:rPr>
                <w:b/>
              </w:rPr>
              <w:t>Instrucciones técnicas</w:t>
            </w:r>
            <w:r>
              <w:rPr>
                <w:b/>
              </w:rPr>
              <w:t xml:space="preserve">. </w:t>
            </w:r>
            <w:r>
              <w:t>Verificación de la conformidad de la gestión de los procesos a las Instrucciones Técnicas aplicadas según la documentación de los procesos.</w:t>
            </w:r>
          </w:p>
        </w:tc>
      </w:tr>
      <w:tr w:rsidR="00F41C5C" w:rsidTr="009C6632">
        <w:tc>
          <w:tcPr>
            <w:tcW w:w="1951" w:type="dxa"/>
          </w:tcPr>
          <w:p w:rsidR="00F41C5C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F41C5C" w:rsidRDefault="00A42B6C" w:rsidP="00BE3D1E">
            <w:pPr>
              <w:pStyle w:val="Prrafodelista"/>
              <w:ind w:left="360"/>
            </w:pPr>
            <w:r>
              <w:t>La Unidad no dispone de Instrucciones Técnicas en el Proceso.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F41C5C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F41C5C" w:rsidRPr="008574EB" w:rsidRDefault="00F41C5C" w:rsidP="00F41C5C">
            <w:pPr>
              <w:rPr>
                <w:b/>
              </w:rPr>
            </w:pPr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F41C5C" w:rsidRDefault="00F41C5C" w:rsidP="00FC002E">
            <w:pPr>
              <w:ind w:left="317"/>
            </w:pPr>
          </w:p>
        </w:tc>
      </w:tr>
    </w:tbl>
    <w:p w:rsidR="008574EB" w:rsidRDefault="008574EB" w:rsidP="00907D79"/>
    <w:sectPr w:rsidR="008574EB" w:rsidSect="00352E82">
      <w:headerReference w:type="default" r:id="rId8"/>
      <w:footerReference w:type="default" r:id="rId9"/>
      <w:pgSz w:w="11906" w:h="16838" w:code="9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BC" w:rsidRDefault="00FB73BC" w:rsidP="00323545">
      <w:pPr>
        <w:spacing w:line="240" w:lineRule="auto"/>
      </w:pPr>
      <w:r>
        <w:separator/>
      </w:r>
    </w:p>
  </w:endnote>
  <w:endnote w:type="continuationSeparator" w:id="0">
    <w:p w:rsidR="00FB73BC" w:rsidRDefault="00FB73BC" w:rsidP="00323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F" w:rsidRDefault="00D715BF" w:rsidP="00255A3F">
    <w:r w:rsidRPr="00945A44">
      <w:rPr>
        <w:i/>
        <w:color w:val="808080"/>
        <w:sz w:val="16"/>
        <w:szCs w:val="16"/>
      </w:rPr>
      <w:t>Sistema Integrado de Gestión de la Calidad de los Servicios y Unidades Administrativas de la Universidad de Jaén.</w:t>
    </w:r>
    <w:r>
      <w:rPr>
        <w:i/>
        <w:color w:val="808080"/>
        <w:sz w:val="16"/>
        <w:szCs w:val="16"/>
      </w:rPr>
      <w:t xml:space="preserve">   </w:t>
    </w:r>
    <w:r>
      <w:t xml:space="preserve">Página </w:t>
    </w:r>
    <w:r w:rsidR="000C1D1D">
      <w:fldChar w:fldCharType="begin"/>
    </w:r>
    <w:r w:rsidR="008E3820">
      <w:instrText xml:space="preserve"> PAGE </w:instrText>
    </w:r>
    <w:r w:rsidR="000C1D1D">
      <w:fldChar w:fldCharType="separate"/>
    </w:r>
    <w:r w:rsidR="00900D25">
      <w:rPr>
        <w:noProof/>
      </w:rPr>
      <w:t>1</w:t>
    </w:r>
    <w:r w:rsidR="000C1D1D">
      <w:rPr>
        <w:noProof/>
      </w:rPr>
      <w:fldChar w:fldCharType="end"/>
    </w:r>
    <w:r>
      <w:t xml:space="preserve"> de </w:t>
    </w:r>
    <w:r w:rsidR="000C1D1D">
      <w:fldChar w:fldCharType="begin"/>
    </w:r>
    <w:r w:rsidR="00DB4D7C">
      <w:instrText xml:space="preserve"> NUMPAGES  </w:instrText>
    </w:r>
    <w:r w:rsidR="000C1D1D">
      <w:fldChar w:fldCharType="separate"/>
    </w:r>
    <w:r w:rsidR="00900D25">
      <w:rPr>
        <w:noProof/>
      </w:rPr>
      <w:t>1</w:t>
    </w:r>
    <w:r w:rsidR="000C1D1D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BC" w:rsidRDefault="00FB73BC" w:rsidP="00323545">
      <w:pPr>
        <w:spacing w:line="240" w:lineRule="auto"/>
      </w:pPr>
      <w:r>
        <w:separator/>
      </w:r>
    </w:p>
  </w:footnote>
  <w:footnote w:type="continuationSeparator" w:id="0">
    <w:p w:rsidR="00FB73BC" w:rsidRDefault="00FB73BC" w:rsidP="003235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4" w:type="dxa"/>
      <w:jc w:val="center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V w:val="single" w:sz="8" w:space="0" w:color="A6A6A6"/>
      </w:tblBorders>
      <w:tblLook w:val="04A0"/>
    </w:tblPr>
    <w:tblGrid>
      <w:gridCol w:w="2467"/>
      <w:gridCol w:w="2469"/>
      <w:gridCol w:w="4758"/>
    </w:tblGrid>
    <w:tr w:rsidR="00D715BF" w:rsidTr="00B97F47">
      <w:trPr>
        <w:trHeight w:val="480"/>
        <w:jc w:val="center"/>
      </w:trPr>
      <w:tc>
        <w:tcPr>
          <w:tcW w:w="2467" w:type="dxa"/>
          <w:vMerge w:val="restart"/>
          <w:tcBorders>
            <w:top w:val="single" w:sz="8" w:space="0" w:color="A6A6A6"/>
            <w:left w:val="nil"/>
            <w:bottom w:val="single" w:sz="8" w:space="0" w:color="A6A6A6"/>
            <w:right w:val="nil"/>
          </w:tcBorders>
        </w:tcPr>
        <w:p w:rsidR="00D715BF" w:rsidRDefault="00D715BF" w:rsidP="00B97F47">
          <w:pPr>
            <w:pStyle w:val="Encabezado"/>
          </w:pPr>
          <w:r w:rsidRPr="00EA013B">
            <w:rPr>
              <w:rFonts w:ascii="Eras Bold ITC" w:hAnsi="Eras Bold ITC"/>
              <w:color w:val="808080"/>
            </w:rPr>
            <w:t>SIGC-SUA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1247775" cy="390525"/>
                <wp:effectExtent l="19050" t="0" r="9525" b="0"/>
                <wp:docPr id="1" name="0 Imagen" descr="imagen_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9" w:type="dxa"/>
          <w:vMerge w:val="restart"/>
          <w:tcBorders>
            <w:top w:val="single" w:sz="8" w:space="0" w:color="A6A6A6"/>
            <w:left w:val="nil"/>
          </w:tcBorders>
          <w:vAlign w:val="center"/>
        </w:tcPr>
        <w:p w:rsidR="00D715BF" w:rsidRPr="00EA013B" w:rsidRDefault="00D715BF" w:rsidP="00B97F47">
          <w:pPr>
            <w:pStyle w:val="Encabezado"/>
            <w:jc w:val="center"/>
            <w:rPr>
              <w:color w:val="808080"/>
            </w:rPr>
          </w:pPr>
          <w:r>
            <w:rPr>
              <w:noProof/>
            </w:rPr>
            <w:drawing>
              <wp:inline distT="0" distB="0" distL="0" distR="0">
                <wp:extent cx="819150" cy="657225"/>
                <wp:effectExtent l="0" t="0" r="0" b="0"/>
                <wp:docPr id="2" name="Imagen 1" descr="UJA_letras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JA_letras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</w:tcPr>
        <w:p w:rsidR="00D715BF" w:rsidRPr="00EA013B" w:rsidRDefault="00D715BF" w:rsidP="00E3348B">
          <w:pPr>
            <w:jc w:val="both"/>
            <w:rPr>
              <w:b/>
              <w:noProof/>
              <w:color w:val="808080"/>
              <w:sz w:val="20"/>
              <w:szCs w:val="20"/>
            </w:rPr>
          </w:pPr>
          <w:r>
            <w:rPr>
              <w:b/>
              <w:noProof/>
              <w:color w:val="808080"/>
              <w:sz w:val="20"/>
              <w:szCs w:val="20"/>
            </w:rPr>
            <w:t xml:space="preserve">Auditoría Interna </w:t>
          </w:r>
          <w:r w:rsidR="00660D83">
            <w:rPr>
              <w:b/>
              <w:noProof/>
              <w:color w:val="808080"/>
              <w:sz w:val="20"/>
              <w:szCs w:val="20"/>
            </w:rPr>
            <w:t>de Seguimiento.</w:t>
          </w:r>
          <w:r>
            <w:rPr>
              <w:b/>
              <w:noProof/>
              <w:color w:val="808080"/>
              <w:sz w:val="20"/>
              <w:szCs w:val="20"/>
            </w:rPr>
            <w:t xml:space="preserve"> Ciclo de Gestión 201</w:t>
          </w:r>
          <w:r w:rsidR="00E3348B">
            <w:rPr>
              <w:b/>
              <w:noProof/>
              <w:color w:val="808080"/>
              <w:sz w:val="20"/>
              <w:szCs w:val="20"/>
            </w:rPr>
            <w:t>4</w:t>
          </w:r>
        </w:p>
      </w:tc>
    </w:tr>
    <w:tr w:rsidR="00D715BF" w:rsidRPr="006A30E0" w:rsidTr="00B97F47">
      <w:trPr>
        <w:trHeight w:val="198"/>
        <w:jc w:val="center"/>
      </w:trPr>
      <w:tc>
        <w:tcPr>
          <w:tcW w:w="2467" w:type="dxa"/>
          <w:vMerge/>
          <w:tcBorders>
            <w:top w:val="nil"/>
            <w:left w:val="nil"/>
            <w:bottom w:val="single" w:sz="8" w:space="0" w:color="A6A6A6"/>
            <w:right w:val="nil"/>
          </w:tcBorders>
        </w:tcPr>
        <w:p w:rsidR="00D715BF" w:rsidRDefault="00D715BF" w:rsidP="00B97F47">
          <w:pPr>
            <w:pStyle w:val="Encabezado"/>
            <w:rPr>
              <w:noProof/>
            </w:rPr>
          </w:pPr>
        </w:p>
      </w:tc>
      <w:tc>
        <w:tcPr>
          <w:tcW w:w="2469" w:type="dxa"/>
          <w:vMerge/>
          <w:tcBorders>
            <w:left w:val="nil"/>
            <w:bottom w:val="single" w:sz="8" w:space="0" w:color="A6A6A6"/>
          </w:tcBorders>
          <w:vAlign w:val="center"/>
        </w:tcPr>
        <w:p w:rsidR="00D715BF" w:rsidRPr="00EA013B" w:rsidRDefault="00D715BF" w:rsidP="00B97F47">
          <w:pPr>
            <w:pStyle w:val="Encabezado"/>
            <w:rPr>
              <w:b/>
              <w:color w:val="808080"/>
            </w:rPr>
          </w:pP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  <w:vAlign w:val="center"/>
        </w:tcPr>
        <w:p w:rsidR="00D715BF" w:rsidRPr="006A30E0" w:rsidRDefault="00E3348B" w:rsidP="00314915">
          <w:pPr>
            <w:rPr>
              <w:b/>
              <w:noProof/>
              <w:color w:val="808080"/>
              <w:sz w:val="20"/>
              <w:szCs w:val="20"/>
              <w:lang w:val="en-US"/>
            </w:rPr>
          </w:pPr>
          <w:r>
            <w:rPr>
              <w:b/>
              <w:noProof/>
              <w:color w:val="808080"/>
              <w:sz w:val="20"/>
              <w:szCs w:val="20"/>
              <w:lang w:val="en-US"/>
            </w:rPr>
            <w:t>Septiembre</w:t>
          </w:r>
          <w:r w:rsidR="00314915">
            <w:rPr>
              <w:b/>
              <w:noProof/>
              <w:color w:val="808080"/>
              <w:sz w:val="20"/>
              <w:szCs w:val="20"/>
              <w:lang w:val="en-US"/>
            </w:rPr>
            <w:t xml:space="preserve"> </w:t>
          </w:r>
          <w:r w:rsidR="00D715BF">
            <w:rPr>
              <w:b/>
              <w:noProof/>
              <w:color w:val="808080"/>
              <w:sz w:val="20"/>
              <w:szCs w:val="20"/>
              <w:lang w:val="en-US"/>
            </w:rPr>
            <w:t>201</w:t>
          </w:r>
          <w:r>
            <w:rPr>
              <w:b/>
              <w:noProof/>
              <w:color w:val="808080"/>
              <w:sz w:val="20"/>
              <w:szCs w:val="20"/>
              <w:lang w:val="en-US"/>
            </w:rPr>
            <w:t>4</w:t>
          </w:r>
        </w:p>
      </w:tc>
    </w:tr>
  </w:tbl>
  <w:p w:rsidR="00D715BF" w:rsidRDefault="00D715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B10"/>
    <w:multiLevelType w:val="hybridMultilevel"/>
    <w:tmpl w:val="2970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7A5"/>
    <w:multiLevelType w:val="hybridMultilevel"/>
    <w:tmpl w:val="9C8E88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3F56AC"/>
    <w:multiLevelType w:val="hybridMultilevel"/>
    <w:tmpl w:val="BC547B7E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014135"/>
    <w:multiLevelType w:val="hybridMultilevel"/>
    <w:tmpl w:val="4816E36E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5E256D"/>
    <w:multiLevelType w:val="hybridMultilevel"/>
    <w:tmpl w:val="2272EE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615C6"/>
    <w:multiLevelType w:val="hybridMultilevel"/>
    <w:tmpl w:val="6A5812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167F7"/>
    <w:multiLevelType w:val="hybridMultilevel"/>
    <w:tmpl w:val="59AC88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612B1D"/>
    <w:multiLevelType w:val="hybridMultilevel"/>
    <w:tmpl w:val="7250FE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A3371"/>
    <w:multiLevelType w:val="hybridMultilevel"/>
    <w:tmpl w:val="B49A0B8C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C3B2E"/>
    <w:multiLevelType w:val="hybridMultilevel"/>
    <w:tmpl w:val="2970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439CC"/>
    <w:multiLevelType w:val="hybridMultilevel"/>
    <w:tmpl w:val="3F4002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C25E9A"/>
    <w:multiLevelType w:val="hybridMultilevel"/>
    <w:tmpl w:val="2E0C039A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C94AA2"/>
    <w:multiLevelType w:val="hybridMultilevel"/>
    <w:tmpl w:val="D93098D8"/>
    <w:lvl w:ilvl="0" w:tplc="E7705AA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174EB"/>
    <w:multiLevelType w:val="hybridMultilevel"/>
    <w:tmpl w:val="3DBA85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4E00CC"/>
    <w:multiLevelType w:val="hybridMultilevel"/>
    <w:tmpl w:val="964C6E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D4478D"/>
    <w:multiLevelType w:val="hybridMultilevel"/>
    <w:tmpl w:val="E0DCF35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4003D8"/>
    <w:multiLevelType w:val="hybridMultilevel"/>
    <w:tmpl w:val="B70484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B935C8"/>
    <w:multiLevelType w:val="hybridMultilevel"/>
    <w:tmpl w:val="117AB1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FF5485"/>
    <w:multiLevelType w:val="hybridMultilevel"/>
    <w:tmpl w:val="A1F4899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092CFF"/>
    <w:multiLevelType w:val="hybridMultilevel"/>
    <w:tmpl w:val="889C498A"/>
    <w:lvl w:ilvl="0" w:tplc="DBD28D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64E57"/>
    <w:multiLevelType w:val="hybridMultilevel"/>
    <w:tmpl w:val="8ED883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5B7C0B"/>
    <w:multiLevelType w:val="hybridMultilevel"/>
    <w:tmpl w:val="B94292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7325F5"/>
    <w:multiLevelType w:val="hybridMultilevel"/>
    <w:tmpl w:val="C83E8D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206DE3"/>
    <w:multiLevelType w:val="hybridMultilevel"/>
    <w:tmpl w:val="BD1693E0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E26FCA"/>
    <w:multiLevelType w:val="hybridMultilevel"/>
    <w:tmpl w:val="83D29C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866083"/>
    <w:multiLevelType w:val="hybridMultilevel"/>
    <w:tmpl w:val="C19E4B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3"/>
  </w:num>
  <w:num w:numId="10">
    <w:abstractNumId w:val="2"/>
  </w:num>
  <w:num w:numId="11">
    <w:abstractNumId w:val="9"/>
  </w:num>
  <w:num w:numId="12">
    <w:abstractNumId w:val="0"/>
  </w:num>
  <w:num w:numId="13">
    <w:abstractNumId w:val="17"/>
  </w:num>
  <w:num w:numId="14">
    <w:abstractNumId w:val="18"/>
  </w:num>
  <w:num w:numId="15">
    <w:abstractNumId w:val="13"/>
  </w:num>
  <w:num w:numId="16">
    <w:abstractNumId w:val="6"/>
  </w:num>
  <w:num w:numId="17">
    <w:abstractNumId w:val="14"/>
  </w:num>
  <w:num w:numId="18">
    <w:abstractNumId w:val="24"/>
  </w:num>
  <w:num w:numId="19">
    <w:abstractNumId w:val="22"/>
  </w:num>
  <w:num w:numId="20">
    <w:abstractNumId w:val="16"/>
  </w:num>
  <w:num w:numId="21">
    <w:abstractNumId w:val="21"/>
  </w:num>
  <w:num w:numId="22">
    <w:abstractNumId w:val="4"/>
  </w:num>
  <w:num w:numId="23">
    <w:abstractNumId w:val="10"/>
  </w:num>
  <w:num w:numId="24">
    <w:abstractNumId w:val="20"/>
  </w:num>
  <w:num w:numId="25">
    <w:abstractNumId w:val="25"/>
  </w:num>
  <w:num w:numId="26">
    <w:abstractNumId w:val="15"/>
  </w:num>
  <w:num w:numId="27">
    <w:abstractNumId w:val="1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FFE"/>
    <w:rsid w:val="000040C5"/>
    <w:rsid w:val="00013E71"/>
    <w:rsid w:val="00017CD5"/>
    <w:rsid w:val="00022F2A"/>
    <w:rsid w:val="000267A6"/>
    <w:rsid w:val="0003401F"/>
    <w:rsid w:val="00045CC2"/>
    <w:rsid w:val="000638F2"/>
    <w:rsid w:val="00065B74"/>
    <w:rsid w:val="00072A35"/>
    <w:rsid w:val="000836F0"/>
    <w:rsid w:val="000909B0"/>
    <w:rsid w:val="000A2776"/>
    <w:rsid w:val="000B042C"/>
    <w:rsid w:val="000B166E"/>
    <w:rsid w:val="000B6DCC"/>
    <w:rsid w:val="000C19A4"/>
    <w:rsid w:val="000C1D1D"/>
    <w:rsid w:val="000C599F"/>
    <w:rsid w:val="000D147D"/>
    <w:rsid w:val="000D6B84"/>
    <w:rsid w:val="000E2197"/>
    <w:rsid w:val="000E2CC3"/>
    <w:rsid w:val="000E4E23"/>
    <w:rsid w:val="000F1E78"/>
    <w:rsid w:val="000F576E"/>
    <w:rsid w:val="00123C15"/>
    <w:rsid w:val="00144FFE"/>
    <w:rsid w:val="0014757B"/>
    <w:rsid w:val="00152644"/>
    <w:rsid w:val="001633AC"/>
    <w:rsid w:val="00175B20"/>
    <w:rsid w:val="0018686F"/>
    <w:rsid w:val="00190731"/>
    <w:rsid w:val="0019613A"/>
    <w:rsid w:val="001A3EED"/>
    <w:rsid w:val="001A56AE"/>
    <w:rsid w:val="001B1774"/>
    <w:rsid w:val="001C7FBC"/>
    <w:rsid w:val="001E6474"/>
    <w:rsid w:val="001F1322"/>
    <w:rsid w:val="001F5D77"/>
    <w:rsid w:val="00212C53"/>
    <w:rsid w:val="002151D9"/>
    <w:rsid w:val="00216ED3"/>
    <w:rsid w:val="002247AD"/>
    <w:rsid w:val="0024554B"/>
    <w:rsid w:val="00252C56"/>
    <w:rsid w:val="0025429F"/>
    <w:rsid w:val="00255A3F"/>
    <w:rsid w:val="00261873"/>
    <w:rsid w:val="00275DD5"/>
    <w:rsid w:val="00295A2A"/>
    <w:rsid w:val="002C54C3"/>
    <w:rsid w:val="002C63CE"/>
    <w:rsid w:val="002E3F44"/>
    <w:rsid w:val="002F6FF3"/>
    <w:rsid w:val="002F7651"/>
    <w:rsid w:val="0031161F"/>
    <w:rsid w:val="00314915"/>
    <w:rsid w:val="00323545"/>
    <w:rsid w:val="00330286"/>
    <w:rsid w:val="0033546F"/>
    <w:rsid w:val="00352E82"/>
    <w:rsid w:val="00366BEB"/>
    <w:rsid w:val="00383B6D"/>
    <w:rsid w:val="003A47C6"/>
    <w:rsid w:val="003A5B4C"/>
    <w:rsid w:val="003C4CDA"/>
    <w:rsid w:val="003D546F"/>
    <w:rsid w:val="003E0A5E"/>
    <w:rsid w:val="003E5898"/>
    <w:rsid w:val="003E5C00"/>
    <w:rsid w:val="00404559"/>
    <w:rsid w:val="00412B22"/>
    <w:rsid w:val="00414E9E"/>
    <w:rsid w:val="00415128"/>
    <w:rsid w:val="004247B6"/>
    <w:rsid w:val="004447B5"/>
    <w:rsid w:val="00446225"/>
    <w:rsid w:val="00446E19"/>
    <w:rsid w:val="004727D4"/>
    <w:rsid w:val="004747D9"/>
    <w:rsid w:val="004959F3"/>
    <w:rsid w:val="004B3D59"/>
    <w:rsid w:val="004B408C"/>
    <w:rsid w:val="004B4C29"/>
    <w:rsid w:val="004B6142"/>
    <w:rsid w:val="004E1371"/>
    <w:rsid w:val="004E365C"/>
    <w:rsid w:val="00506910"/>
    <w:rsid w:val="005153D5"/>
    <w:rsid w:val="005211A9"/>
    <w:rsid w:val="0052398F"/>
    <w:rsid w:val="005278EC"/>
    <w:rsid w:val="0053707A"/>
    <w:rsid w:val="00540F91"/>
    <w:rsid w:val="00555520"/>
    <w:rsid w:val="00557CCB"/>
    <w:rsid w:val="0056531F"/>
    <w:rsid w:val="005654D2"/>
    <w:rsid w:val="0056751E"/>
    <w:rsid w:val="005713F0"/>
    <w:rsid w:val="00582EBF"/>
    <w:rsid w:val="0058677C"/>
    <w:rsid w:val="005871C3"/>
    <w:rsid w:val="00587354"/>
    <w:rsid w:val="00592B84"/>
    <w:rsid w:val="005A25B4"/>
    <w:rsid w:val="005D2531"/>
    <w:rsid w:val="0061559F"/>
    <w:rsid w:val="00616F9F"/>
    <w:rsid w:val="00630669"/>
    <w:rsid w:val="00644EFC"/>
    <w:rsid w:val="00660D83"/>
    <w:rsid w:val="006761FB"/>
    <w:rsid w:val="00680FBF"/>
    <w:rsid w:val="006866BD"/>
    <w:rsid w:val="006A068B"/>
    <w:rsid w:val="006A63EE"/>
    <w:rsid w:val="006C5F02"/>
    <w:rsid w:val="006D1D8D"/>
    <w:rsid w:val="006E0215"/>
    <w:rsid w:val="006E0748"/>
    <w:rsid w:val="006E54CD"/>
    <w:rsid w:val="006E6F9A"/>
    <w:rsid w:val="006F629D"/>
    <w:rsid w:val="00712433"/>
    <w:rsid w:val="00717BEB"/>
    <w:rsid w:val="00746C4E"/>
    <w:rsid w:val="00747FCE"/>
    <w:rsid w:val="00772B5D"/>
    <w:rsid w:val="00772E88"/>
    <w:rsid w:val="007741B1"/>
    <w:rsid w:val="00774659"/>
    <w:rsid w:val="00774F35"/>
    <w:rsid w:val="00780D3C"/>
    <w:rsid w:val="00791B88"/>
    <w:rsid w:val="007924BD"/>
    <w:rsid w:val="007A5525"/>
    <w:rsid w:val="007B3213"/>
    <w:rsid w:val="007B5643"/>
    <w:rsid w:val="007B7DEE"/>
    <w:rsid w:val="007C66A3"/>
    <w:rsid w:val="007D3492"/>
    <w:rsid w:val="007E23E8"/>
    <w:rsid w:val="007F7506"/>
    <w:rsid w:val="00805F65"/>
    <w:rsid w:val="008360C2"/>
    <w:rsid w:val="008437CF"/>
    <w:rsid w:val="00853CE4"/>
    <w:rsid w:val="00856F2A"/>
    <w:rsid w:val="008574EB"/>
    <w:rsid w:val="00860B3D"/>
    <w:rsid w:val="00861895"/>
    <w:rsid w:val="00864A79"/>
    <w:rsid w:val="00876FE3"/>
    <w:rsid w:val="008C2A46"/>
    <w:rsid w:val="008D06CF"/>
    <w:rsid w:val="008D47A9"/>
    <w:rsid w:val="008E3820"/>
    <w:rsid w:val="008E6563"/>
    <w:rsid w:val="008F56F1"/>
    <w:rsid w:val="00900CFA"/>
    <w:rsid w:val="00900D25"/>
    <w:rsid w:val="0090655B"/>
    <w:rsid w:val="00907D79"/>
    <w:rsid w:val="00912DAA"/>
    <w:rsid w:val="00920987"/>
    <w:rsid w:val="00937566"/>
    <w:rsid w:val="00941D35"/>
    <w:rsid w:val="00947AE4"/>
    <w:rsid w:val="00952DD2"/>
    <w:rsid w:val="009628E2"/>
    <w:rsid w:val="00984C58"/>
    <w:rsid w:val="00990646"/>
    <w:rsid w:val="009944C7"/>
    <w:rsid w:val="009966E6"/>
    <w:rsid w:val="009B03D7"/>
    <w:rsid w:val="009B689A"/>
    <w:rsid w:val="009C3E57"/>
    <w:rsid w:val="009E1FDD"/>
    <w:rsid w:val="00A0323D"/>
    <w:rsid w:val="00A048FA"/>
    <w:rsid w:val="00A20198"/>
    <w:rsid w:val="00A238C0"/>
    <w:rsid w:val="00A42B6C"/>
    <w:rsid w:val="00A44B3F"/>
    <w:rsid w:val="00A514B4"/>
    <w:rsid w:val="00A62671"/>
    <w:rsid w:val="00A65680"/>
    <w:rsid w:val="00A66B0F"/>
    <w:rsid w:val="00A7702B"/>
    <w:rsid w:val="00A81D88"/>
    <w:rsid w:val="00A81F39"/>
    <w:rsid w:val="00A90A94"/>
    <w:rsid w:val="00A92B4C"/>
    <w:rsid w:val="00AA5457"/>
    <w:rsid w:val="00AB6534"/>
    <w:rsid w:val="00AD77DB"/>
    <w:rsid w:val="00B00565"/>
    <w:rsid w:val="00B168D6"/>
    <w:rsid w:val="00B20100"/>
    <w:rsid w:val="00B2282C"/>
    <w:rsid w:val="00B2642B"/>
    <w:rsid w:val="00B31819"/>
    <w:rsid w:val="00B456C9"/>
    <w:rsid w:val="00B547AD"/>
    <w:rsid w:val="00B72B0B"/>
    <w:rsid w:val="00B74726"/>
    <w:rsid w:val="00B959D2"/>
    <w:rsid w:val="00B97F47"/>
    <w:rsid w:val="00BB07E5"/>
    <w:rsid w:val="00BD128E"/>
    <w:rsid w:val="00BE3D1E"/>
    <w:rsid w:val="00BF7890"/>
    <w:rsid w:val="00BF7DBA"/>
    <w:rsid w:val="00C157CF"/>
    <w:rsid w:val="00C163C1"/>
    <w:rsid w:val="00C232D5"/>
    <w:rsid w:val="00C4179E"/>
    <w:rsid w:val="00C51983"/>
    <w:rsid w:val="00C75D53"/>
    <w:rsid w:val="00C96F42"/>
    <w:rsid w:val="00CB486F"/>
    <w:rsid w:val="00CF6B0E"/>
    <w:rsid w:val="00D12469"/>
    <w:rsid w:val="00D262F8"/>
    <w:rsid w:val="00D607E8"/>
    <w:rsid w:val="00D61161"/>
    <w:rsid w:val="00D64F7E"/>
    <w:rsid w:val="00D715BF"/>
    <w:rsid w:val="00D743B1"/>
    <w:rsid w:val="00D7474F"/>
    <w:rsid w:val="00D752B8"/>
    <w:rsid w:val="00D80F23"/>
    <w:rsid w:val="00D82B17"/>
    <w:rsid w:val="00D90DDF"/>
    <w:rsid w:val="00D9147E"/>
    <w:rsid w:val="00DA2373"/>
    <w:rsid w:val="00DA68F8"/>
    <w:rsid w:val="00DB4D7C"/>
    <w:rsid w:val="00DC7819"/>
    <w:rsid w:val="00DD164F"/>
    <w:rsid w:val="00DD2E68"/>
    <w:rsid w:val="00E104CF"/>
    <w:rsid w:val="00E10F93"/>
    <w:rsid w:val="00E31E46"/>
    <w:rsid w:val="00E32E94"/>
    <w:rsid w:val="00E3348B"/>
    <w:rsid w:val="00E34BCB"/>
    <w:rsid w:val="00E44A6D"/>
    <w:rsid w:val="00E45B56"/>
    <w:rsid w:val="00E51BC3"/>
    <w:rsid w:val="00E570D0"/>
    <w:rsid w:val="00EB52A8"/>
    <w:rsid w:val="00ED145E"/>
    <w:rsid w:val="00EE73BB"/>
    <w:rsid w:val="00F00F06"/>
    <w:rsid w:val="00F12B43"/>
    <w:rsid w:val="00F13EAE"/>
    <w:rsid w:val="00F25576"/>
    <w:rsid w:val="00F260E7"/>
    <w:rsid w:val="00F41C5C"/>
    <w:rsid w:val="00F443CB"/>
    <w:rsid w:val="00F54313"/>
    <w:rsid w:val="00F55E0C"/>
    <w:rsid w:val="00F84694"/>
    <w:rsid w:val="00FA1E60"/>
    <w:rsid w:val="00FA4D64"/>
    <w:rsid w:val="00FB2C4D"/>
    <w:rsid w:val="00FB73BC"/>
    <w:rsid w:val="00FC002E"/>
    <w:rsid w:val="00FC31EE"/>
    <w:rsid w:val="00FF5B6D"/>
    <w:rsid w:val="00F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4E"/>
  </w:style>
  <w:style w:type="paragraph" w:styleId="Ttulo3">
    <w:name w:val="heading 3"/>
    <w:basedOn w:val="Normal"/>
    <w:link w:val="Ttulo3Car"/>
    <w:uiPriority w:val="9"/>
    <w:qFormat/>
    <w:rsid w:val="00D1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F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F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A068B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A06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354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545"/>
  </w:style>
  <w:style w:type="paragraph" w:styleId="Prrafodelista">
    <w:name w:val="List Paragraph"/>
    <w:basedOn w:val="Normal"/>
    <w:link w:val="PrrafodelistaCar"/>
    <w:uiPriority w:val="34"/>
    <w:qFormat/>
    <w:rsid w:val="00F13E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BE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124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96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4E"/>
  </w:style>
  <w:style w:type="paragraph" w:styleId="Ttulo3">
    <w:name w:val="heading 3"/>
    <w:basedOn w:val="Normal"/>
    <w:link w:val="Ttulo3Car"/>
    <w:uiPriority w:val="9"/>
    <w:qFormat/>
    <w:rsid w:val="00D1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F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F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A068B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A06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354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545"/>
  </w:style>
  <w:style w:type="paragraph" w:styleId="Prrafodelista">
    <w:name w:val="List Paragraph"/>
    <w:basedOn w:val="Normal"/>
    <w:link w:val="PrrafodelistaCar"/>
    <w:uiPriority w:val="34"/>
    <w:qFormat/>
    <w:rsid w:val="00F13E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BE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124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96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0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7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1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95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6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8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97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80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7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6F6FC-CE56-4DCF-93E0-9CC21BA7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marina</cp:lastModifiedBy>
  <cp:revision>2</cp:revision>
  <cp:lastPrinted>2013-12-20T12:42:00Z</cp:lastPrinted>
  <dcterms:created xsi:type="dcterms:W3CDTF">2014-12-16T23:29:00Z</dcterms:created>
  <dcterms:modified xsi:type="dcterms:W3CDTF">2014-12-16T23:29:00Z</dcterms:modified>
</cp:coreProperties>
</file>