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30" w:rsidRDefault="008A6B30" w:rsidP="008A6B30"/>
    <w:tbl>
      <w:tblPr>
        <w:tblStyle w:val="Tablaconcuadrcula"/>
        <w:tblW w:w="9889" w:type="dxa"/>
        <w:tblLayout w:type="fixed"/>
        <w:tblLook w:val="04A0" w:firstRow="1" w:lastRow="0" w:firstColumn="1" w:lastColumn="0" w:noHBand="0" w:noVBand="1"/>
      </w:tblPr>
      <w:tblGrid>
        <w:gridCol w:w="1809"/>
        <w:gridCol w:w="567"/>
        <w:gridCol w:w="2268"/>
        <w:gridCol w:w="5245"/>
      </w:tblGrid>
      <w:tr w:rsidR="008A6B30" w:rsidTr="00C404E2">
        <w:tc>
          <w:tcPr>
            <w:tcW w:w="9889" w:type="dxa"/>
            <w:gridSpan w:val="4"/>
            <w:tcBorders>
              <w:bottom w:val="single" w:sz="4" w:space="0" w:color="auto"/>
            </w:tcBorders>
            <w:shd w:val="clear" w:color="auto" w:fill="F2F2F2" w:themeFill="background1" w:themeFillShade="F2"/>
          </w:tcPr>
          <w:p w:rsidR="008A6B30" w:rsidRPr="006E0748" w:rsidRDefault="008A6B30" w:rsidP="00C404E2">
            <w:pPr>
              <w:jc w:val="center"/>
            </w:pPr>
            <w:r w:rsidRPr="006E0748">
              <w:rPr>
                <w:rFonts w:ascii="Calibri" w:hAnsi="Calibri"/>
                <w:b/>
              </w:rPr>
              <w:t xml:space="preserve">INFORME </w:t>
            </w:r>
            <w:r>
              <w:rPr>
                <w:rFonts w:ascii="Calibri" w:hAnsi="Calibri"/>
                <w:b/>
              </w:rPr>
              <w:t xml:space="preserve">EJECUTIVO </w:t>
            </w:r>
            <w:r w:rsidRPr="006E0748">
              <w:rPr>
                <w:rFonts w:ascii="Calibri" w:hAnsi="Calibri"/>
                <w:b/>
              </w:rPr>
              <w:t xml:space="preserve">DE AUDITORÍA </w:t>
            </w:r>
            <w:r>
              <w:rPr>
                <w:rFonts w:ascii="Calibri" w:hAnsi="Calibri"/>
                <w:b/>
              </w:rPr>
              <w:t>CONTINUA CICLO</w:t>
            </w:r>
            <w:r w:rsidRPr="006E0748">
              <w:rPr>
                <w:rFonts w:ascii="Calibri" w:hAnsi="Calibri"/>
                <w:b/>
              </w:rPr>
              <w:t xml:space="preserve"> 201</w:t>
            </w:r>
            <w:r>
              <w:rPr>
                <w:rFonts w:ascii="Calibri" w:hAnsi="Calibri"/>
                <w:b/>
              </w:rPr>
              <w:t>7</w:t>
            </w:r>
            <w:r w:rsidRPr="006E0748">
              <w:rPr>
                <w:rFonts w:ascii="Calibri" w:hAnsi="Calibri"/>
                <w:b/>
              </w:rPr>
              <w:t>.</w:t>
            </w:r>
          </w:p>
        </w:tc>
      </w:tr>
      <w:tr w:rsidR="008A6B30" w:rsidRPr="009C3E57" w:rsidTr="00C404E2">
        <w:trPr>
          <w:trHeight w:val="322"/>
        </w:trPr>
        <w:tc>
          <w:tcPr>
            <w:tcW w:w="1809" w:type="dxa"/>
            <w:tcBorders>
              <w:bottom w:val="single" w:sz="4" w:space="0" w:color="auto"/>
              <w:right w:val="single" w:sz="4" w:space="0" w:color="auto"/>
            </w:tcBorders>
            <w:shd w:val="clear" w:color="auto" w:fill="F2F2F2" w:themeFill="background1" w:themeFillShade="F2"/>
          </w:tcPr>
          <w:p w:rsidR="008A6B30" w:rsidRPr="006E0748" w:rsidRDefault="008A6B30" w:rsidP="00C404E2">
            <w:r w:rsidRPr="006E0748">
              <w:rPr>
                <w:b/>
              </w:rPr>
              <w:t>PROCESO</w:t>
            </w:r>
            <w:r w:rsidRPr="006E0748">
              <w:t xml:space="preserve"> </w:t>
            </w:r>
            <w:r w:rsidRPr="006E0748">
              <w:rPr>
                <w:b/>
              </w:rPr>
              <w:t>CLAVE</w:t>
            </w:r>
          </w:p>
        </w:tc>
        <w:tc>
          <w:tcPr>
            <w:tcW w:w="8080" w:type="dxa"/>
            <w:gridSpan w:val="3"/>
            <w:tcBorders>
              <w:left w:val="single" w:sz="4" w:space="0" w:color="auto"/>
              <w:bottom w:val="single" w:sz="4" w:space="0" w:color="auto"/>
            </w:tcBorders>
          </w:tcPr>
          <w:p w:rsidR="008A6B30" w:rsidRPr="00CF2440" w:rsidRDefault="00E40050" w:rsidP="00C404E2">
            <w:r>
              <w:t>PC 08. Gestión de la prestación de servicios de apoyo científico-técnico.</w:t>
            </w:r>
          </w:p>
        </w:tc>
      </w:tr>
      <w:tr w:rsidR="008A6B30" w:rsidRPr="000F576E" w:rsidTr="00C404E2">
        <w:tc>
          <w:tcPr>
            <w:tcW w:w="4644" w:type="dxa"/>
            <w:gridSpan w:val="3"/>
            <w:tcBorders>
              <w:right w:val="single" w:sz="4" w:space="0" w:color="auto"/>
            </w:tcBorders>
            <w:shd w:val="clear" w:color="auto" w:fill="F2F2F2" w:themeFill="background1" w:themeFillShade="F2"/>
          </w:tcPr>
          <w:p w:rsidR="008A6B30" w:rsidRPr="006E0748" w:rsidRDefault="008A6B30" w:rsidP="00C404E2">
            <w:r w:rsidRPr="006E0748">
              <w:rPr>
                <w:b/>
              </w:rPr>
              <w:t>FECHA</w:t>
            </w:r>
            <w:r>
              <w:rPr>
                <w:b/>
              </w:rPr>
              <w:t xml:space="preserve"> DE REALIZACIÓN DE LA AUDITORÍA</w:t>
            </w:r>
            <w:r w:rsidRPr="006E0748">
              <w:rPr>
                <w:b/>
              </w:rPr>
              <w:t xml:space="preserve">: </w:t>
            </w:r>
          </w:p>
        </w:tc>
        <w:tc>
          <w:tcPr>
            <w:tcW w:w="5245" w:type="dxa"/>
            <w:tcBorders>
              <w:left w:val="single" w:sz="4" w:space="0" w:color="auto"/>
            </w:tcBorders>
          </w:tcPr>
          <w:p w:rsidR="008A6B30" w:rsidRPr="006E0748" w:rsidRDefault="00E40050" w:rsidP="00E40050">
            <w:r>
              <w:t>13/11/</w:t>
            </w:r>
            <w:r w:rsidR="008A6B30">
              <w:t>17</w:t>
            </w:r>
          </w:p>
        </w:tc>
      </w:tr>
      <w:tr w:rsidR="008A6B30" w:rsidRPr="006E0748" w:rsidTr="00C404E2">
        <w:trPr>
          <w:trHeight w:val="558"/>
        </w:trPr>
        <w:tc>
          <w:tcPr>
            <w:tcW w:w="2376" w:type="dxa"/>
            <w:gridSpan w:val="2"/>
            <w:shd w:val="clear" w:color="auto" w:fill="F2F2F2" w:themeFill="background1" w:themeFillShade="F2"/>
            <w:vAlign w:val="center"/>
          </w:tcPr>
          <w:p w:rsidR="008A6B30" w:rsidRPr="006E0748" w:rsidRDefault="008A6B30" w:rsidP="00C404E2">
            <w:r>
              <w:rPr>
                <w:b/>
              </w:rPr>
              <w:t>AUDITORES</w:t>
            </w:r>
            <w:r w:rsidRPr="006E0748">
              <w:rPr>
                <w:b/>
              </w:rPr>
              <w:t xml:space="preserve"> </w:t>
            </w:r>
            <w:r>
              <w:rPr>
                <w:b/>
              </w:rPr>
              <w:t>:</w:t>
            </w:r>
          </w:p>
        </w:tc>
        <w:tc>
          <w:tcPr>
            <w:tcW w:w="7513" w:type="dxa"/>
            <w:gridSpan w:val="2"/>
          </w:tcPr>
          <w:p w:rsidR="008A6B30" w:rsidRPr="008D06CF" w:rsidRDefault="00E40050" w:rsidP="00C404E2">
            <w:pPr>
              <w:numPr>
                <w:ilvl w:val="0"/>
                <w:numId w:val="4"/>
              </w:numPr>
            </w:pPr>
            <w:proofErr w:type="spellStart"/>
            <w:r>
              <w:t>Maica</w:t>
            </w:r>
            <w:proofErr w:type="spellEnd"/>
            <w:r>
              <w:t xml:space="preserve"> López Asperilla</w:t>
            </w:r>
          </w:p>
        </w:tc>
      </w:tr>
      <w:tr w:rsidR="008A6B30" w:rsidRPr="006E0748" w:rsidTr="00C404E2">
        <w:trPr>
          <w:trHeight w:val="982"/>
        </w:trPr>
        <w:tc>
          <w:tcPr>
            <w:tcW w:w="2376" w:type="dxa"/>
            <w:gridSpan w:val="2"/>
            <w:shd w:val="clear" w:color="auto" w:fill="F2F2F2" w:themeFill="background1" w:themeFillShade="F2"/>
            <w:vAlign w:val="center"/>
          </w:tcPr>
          <w:p w:rsidR="008A6B30" w:rsidRPr="006E0748" w:rsidRDefault="008A6B30" w:rsidP="00C404E2">
            <w:r>
              <w:rPr>
                <w:b/>
              </w:rPr>
              <w:t>RESPONSABLE DE UNIDAD:</w:t>
            </w:r>
          </w:p>
        </w:tc>
        <w:tc>
          <w:tcPr>
            <w:tcW w:w="7513" w:type="dxa"/>
            <w:gridSpan w:val="2"/>
            <w:vAlign w:val="center"/>
          </w:tcPr>
          <w:p w:rsidR="008A6B30" w:rsidRPr="000F1E78" w:rsidRDefault="008A6B30" w:rsidP="00C404E2">
            <w:pPr>
              <w:numPr>
                <w:ilvl w:val="0"/>
                <w:numId w:val="4"/>
              </w:numPr>
              <w:rPr>
                <w:sz w:val="20"/>
                <w:szCs w:val="20"/>
              </w:rPr>
            </w:pPr>
            <w:r w:rsidRPr="00103D3A">
              <w:t xml:space="preserve">Marina Gómez Torres. </w:t>
            </w:r>
            <w:r w:rsidRPr="00375AF5">
              <w:rPr>
                <w:b/>
              </w:rPr>
              <w:t>Unidad Funcional de Técnicos de Laboratorio de Apoyo a Departamentos, Institutos y Centros de Investigación.</w:t>
            </w:r>
          </w:p>
        </w:tc>
      </w:tr>
      <w:tr w:rsidR="008A6B30" w:rsidRPr="006E0748" w:rsidTr="00C404E2">
        <w:trPr>
          <w:trHeight w:val="423"/>
        </w:trPr>
        <w:tc>
          <w:tcPr>
            <w:tcW w:w="2376" w:type="dxa"/>
            <w:gridSpan w:val="2"/>
            <w:shd w:val="clear" w:color="auto" w:fill="F2F2F2" w:themeFill="background1" w:themeFillShade="F2"/>
          </w:tcPr>
          <w:p w:rsidR="008A6B30" w:rsidRPr="006E0748" w:rsidRDefault="008A6B30" w:rsidP="00C404E2">
            <w:pPr>
              <w:rPr>
                <w:color w:val="365F91" w:themeColor="accent1" w:themeShade="BF"/>
              </w:rPr>
            </w:pPr>
            <w:r>
              <w:rPr>
                <w:b/>
              </w:rPr>
              <w:t>PROCESOS DE LA UNIDAD AUDITADOS</w:t>
            </w:r>
          </w:p>
        </w:tc>
        <w:tc>
          <w:tcPr>
            <w:tcW w:w="7513" w:type="dxa"/>
            <w:gridSpan w:val="2"/>
          </w:tcPr>
          <w:p w:rsidR="008A6B30" w:rsidRPr="00E9310E" w:rsidRDefault="00E40050" w:rsidP="00C404E2">
            <w:pPr>
              <w:pStyle w:val="Prrafodelista"/>
              <w:numPr>
                <w:ilvl w:val="0"/>
                <w:numId w:val="4"/>
              </w:numPr>
            </w:pPr>
            <w:r w:rsidRPr="00E40050">
              <w:rPr>
                <w:bCs/>
                <w:iCs/>
              </w:rPr>
              <w:t>PC 08.2. Gestión de apoyo técnico e instrumental para el desarrollo de la actividad práctica docente e investigadora.</w:t>
            </w:r>
          </w:p>
        </w:tc>
      </w:tr>
    </w:tbl>
    <w:p w:rsidR="008A6B30" w:rsidRDefault="008A6B30" w:rsidP="008A6B30">
      <w:pPr>
        <w:rPr>
          <w:b/>
        </w:rPr>
      </w:pPr>
    </w:p>
    <w:tbl>
      <w:tblPr>
        <w:tblStyle w:val="Tablaconcuadrcula"/>
        <w:tblW w:w="9892" w:type="dxa"/>
        <w:tblLayout w:type="fixed"/>
        <w:tblLook w:val="04A0" w:firstRow="1" w:lastRow="0" w:firstColumn="1" w:lastColumn="0" w:noHBand="0" w:noVBand="1"/>
      </w:tblPr>
      <w:tblGrid>
        <w:gridCol w:w="1951"/>
        <w:gridCol w:w="7941"/>
      </w:tblGrid>
      <w:tr w:rsidR="008A6B30" w:rsidRPr="006E0748" w:rsidTr="00C404E2">
        <w:trPr>
          <w:trHeight w:val="423"/>
        </w:trPr>
        <w:tc>
          <w:tcPr>
            <w:tcW w:w="9892" w:type="dxa"/>
            <w:gridSpan w:val="2"/>
            <w:tcBorders>
              <w:bottom w:val="single" w:sz="4" w:space="0" w:color="auto"/>
            </w:tcBorders>
            <w:shd w:val="clear" w:color="auto" w:fill="F2F2F2" w:themeFill="background1" w:themeFillShade="F2"/>
          </w:tcPr>
          <w:p w:rsidR="008A6B30" w:rsidRPr="006E0748" w:rsidRDefault="008A6B30" w:rsidP="00C404E2">
            <w:pPr>
              <w:jc w:val="center"/>
              <w:rPr>
                <w:color w:val="365F91" w:themeColor="accent1" w:themeShade="BF"/>
              </w:rPr>
            </w:pPr>
            <w:r>
              <w:rPr>
                <w:b/>
              </w:rPr>
              <w:t>OBJETIVOS DE AUDITORÍA CONTINUA APLICABLES A LA UNIDAD</w:t>
            </w:r>
          </w:p>
        </w:tc>
      </w:tr>
      <w:tr w:rsidR="008A6B30" w:rsidRPr="00BB07E5" w:rsidTr="00C404E2">
        <w:trPr>
          <w:trHeight w:val="423"/>
        </w:trPr>
        <w:tc>
          <w:tcPr>
            <w:tcW w:w="9892" w:type="dxa"/>
            <w:gridSpan w:val="2"/>
            <w:vAlign w:val="center"/>
          </w:tcPr>
          <w:p w:rsidR="008A6B30" w:rsidRPr="00C942D9" w:rsidRDefault="008A6B30" w:rsidP="00C404E2">
            <w:pPr>
              <w:jc w:val="both"/>
              <w:rPr>
                <w:b/>
              </w:rPr>
            </w:pPr>
            <w:r w:rsidRPr="00C942D9">
              <w:rPr>
                <w:b/>
              </w:rPr>
              <w:t>2.-</w:t>
            </w:r>
            <w:r>
              <w:t xml:space="preserve"> </w:t>
            </w:r>
            <w:r w:rsidRPr="00F11D47">
              <w:rPr>
                <w:b/>
              </w:rPr>
              <w:t>La conformidad de la gestión de los proces</w:t>
            </w:r>
            <w:r>
              <w:rPr>
                <w:b/>
              </w:rPr>
              <w:t>os y la prestación de servicios</w:t>
            </w:r>
            <w:r w:rsidRPr="00F11D47">
              <w:rPr>
                <w:b/>
              </w:rPr>
              <w:t xml:space="preserve">, </w:t>
            </w:r>
            <w:r w:rsidRPr="00F11D47">
              <w:t>a través de la implantación y mantenimiento eficaz del sistema de gestión de la calidad respecto de los requisitos de la Norma de referencia del sistema: UNE-EN-ISO-9001:2008: “Sistemas de Gestión de la Calidad. Requisitos”.</w:t>
            </w:r>
          </w:p>
        </w:tc>
      </w:tr>
      <w:tr w:rsidR="008A6B30" w:rsidRPr="00BB07E5" w:rsidTr="00C404E2">
        <w:trPr>
          <w:trHeight w:val="270"/>
        </w:trPr>
        <w:tc>
          <w:tcPr>
            <w:tcW w:w="1951" w:type="dxa"/>
            <w:vAlign w:val="center"/>
          </w:tcPr>
          <w:p w:rsidR="008A6B30" w:rsidRPr="00F11D47" w:rsidRDefault="008A6B30" w:rsidP="00C404E2">
            <w:pPr>
              <w:rPr>
                <w:b/>
              </w:rPr>
            </w:pPr>
            <w:r w:rsidRPr="00F11D47">
              <w:rPr>
                <w:b/>
              </w:rPr>
              <w:t>Valoración.</w:t>
            </w:r>
          </w:p>
        </w:tc>
        <w:tc>
          <w:tcPr>
            <w:tcW w:w="7941" w:type="dxa"/>
            <w:vAlign w:val="center"/>
          </w:tcPr>
          <w:p w:rsidR="008A6B30" w:rsidRDefault="008A6B30" w:rsidP="00C404E2">
            <w:pPr>
              <w:pStyle w:val="Prrafodelista"/>
              <w:numPr>
                <w:ilvl w:val="0"/>
                <w:numId w:val="14"/>
              </w:numPr>
              <w:jc w:val="both"/>
            </w:pPr>
            <w:r w:rsidRPr="00C842C0">
              <w:t>Se verifica la conformidad de la gestión de los procesos auditado</w:t>
            </w:r>
            <w:r>
              <w:t>s, así como los registros asociados.</w:t>
            </w:r>
          </w:p>
          <w:p w:rsidR="008A6B30" w:rsidRPr="00C842C0" w:rsidRDefault="008A6B30" w:rsidP="00E40050">
            <w:pPr>
              <w:jc w:val="both"/>
            </w:pPr>
          </w:p>
        </w:tc>
      </w:tr>
    </w:tbl>
    <w:tbl>
      <w:tblPr>
        <w:tblStyle w:val="Tablaconcuadrcula1"/>
        <w:tblW w:w="9892" w:type="dxa"/>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1"/>
        <w:gridCol w:w="7941"/>
      </w:tblGrid>
      <w:tr w:rsidR="008A6B30" w:rsidTr="00C404E2">
        <w:tc>
          <w:tcPr>
            <w:tcW w:w="1951" w:type="dxa"/>
          </w:tcPr>
          <w:p w:rsidR="008A6B30" w:rsidRPr="008574EB" w:rsidRDefault="008A6B30" w:rsidP="00C404E2">
            <w:pPr>
              <w:rPr>
                <w:b/>
              </w:rPr>
            </w:pPr>
            <w:r w:rsidRPr="008574EB">
              <w:rPr>
                <w:b/>
              </w:rPr>
              <w:t>Observaciones/</w:t>
            </w:r>
          </w:p>
          <w:p w:rsidR="008A6B30" w:rsidRDefault="008A6B30" w:rsidP="00C404E2">
            <w:pPr>
              <w:rPr>
                <w:b/>
              </w:rPr>
            </w:pPr>
            <w:r w:rsidRPr="008574EB">
              <w:rPr>
                <w:b/>
              </w:rPr>
              <w:t>Recomendaciones</w:t>
            </w:r>
          </w:p>
        </w:tc>
        <w:tc>
          <w:tcPr>
            <w:tcW w:w="7941" w:type="dxa"/>
          </w:tcPr>
          <w:p w:rsidR="0070284C" w:rsidRPr="0070284C" w:rsidRDefault="00E40050" w:rsidP="0070284C">
            <w:r>
              <w:t>Se recomienda a valoración de la Unidad</w:t>
            </w:r>
            <w:r w:rsidR="0070284C">
              <w:t xml:space="preserve"> realizar actuaciones para que sus </w:t>
            </w:r>
            <w:r w:rsidR="0070284C" w:rsidRPr="0070284C">
              <w:t>usuarios realicen las solicitudes p</w:t>
            </w:r>
            <w:r w:rsidR="00520607">
              <w:t xml:space="preserve">or el procedimiento establecido, como por ejemplo </w:t>
            </w:r>
            <w:r w:rsidR="002E6D70">
              <w:t xml:space="preserve">con un </w:t>
            </w:r>
            <w:r w:rsidR="00520607">
              <w:t>recordatorio de la sistemática de la prestación del servicio</w:t>
            </w:r>
            <w:r w:rsidR="0070284C">
              <w:t>.</w:t>
            </w:r>
          </w:p>
          <w:p w:rsidR="008A6B30" w:rsidRPr="006E5B37" w:rsidRDefault="008A6B30" w:rsidP="00C404E2">
            <w:pPr>
              <w:jc w:val="both"/>
            </w:pPr>
          </w:p>
        </w:tc>
      </w:tr>
    </w:tbl>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520607" w:rsidRDefault="00520607"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8A6B30" w:rsidRDefault="008A6B30" w:rsidP="006247A1">
      <w:pPr>
        <w:spacing w:line="240" w:lineRule="auto"/>
        <w:rPr>
          <w:b/>
        </w:rPr>
      </w:pPr>
    </w:p>
    <w:p w:rsidR="006247A1" w:rsidRDefault="006247A1" w:rsidP="006247A1">
      <w:pPr>
        <w:spacing w:line="240" w:lineRule="auto"/>
        <w:rPr>
          <w:b/>
        </w:rPr>
      </w:pPr>
      <w:r>
        <w:rPr>
          <w:b/>
        </w:rPr>
        <w:lastRenderedPageBreak/>
        <w:t>2</w:t>
      </w:r>
      <w:r w:rsidRPr="007373EB">
        <w:rPr>
          <w:b/>
        </w:rPr>
        <w:t xml:space="preserve">. </w:t>
      </w:r>
      <w:r>
        <w:rPr>
          <w:b/>
        </w:rPr>
        <w:t xml:space="preserve">Conformidad de la gestión de los procesos y la prestación de servicios </w:t>
      </w:r>
    </w:p>
    <w:p w:rsidR="006247A1" w:rsidRPr="007373EB" w:rsidRDefault="006247A1" w:rsidP="006247A1">
      <w:pPr>
        <w:spacing w:line="240" w:lineRule="auto"/>
        <w:rPr>
          <w:b/>
        </w:rPr>
      </w:pPr>
    </w:p>
    <w:tbl>
      <w:tblPr>
        <w:tblStyle w:val="Tablaconcuadrcula"/>
        <w:tblW w:w="9889" w:type="dxa"/>
        <w:tblLayout w:type="fixed"/>
        <w:tblLook w:val="04A0" w:firstRow="1" w:lastRow="0" w:firstColumn="1" w:lastColumn="0" w:noHBand="0" w:noVBand="1"/>
      </w:tblPr>
      <w:tblGrid>
        <w:gridCol w:w="2376"/>
        <w:gridCol w:w="7513"/>
      </w:tblGrid>
      <w:tr w:rsidR="006247A1" w:rsidTr="00A70D0F">
        <w:tc>
          <w:tcPr>
            <w:tcW w:w="9889" w:type="dxa"/>
            <w:gridSpan w:val="2"/>
            <w:tcBorders>
              <w:bottom w:val="single" w:sz="4" w:space="0" w:color="auto"/>
            </w:tcBorders>
            <w:shd w:val="clear" w:color="auto" w:fill="F2F2F2" w:themeFill="background1" w:themeFillShade="F2"/>
          </w:tcPr>
          <w:p w:rsidR="006247A1" w:rsidRPr="006E0748" w:rsidRDefault="006247A1" w:rsidP="00A70D0F">
            <w:pPr>
              <w:jc w:val="center"/>
            </w:pPr>
            <w:r>
              <w:rPr>
                <w:rFonts w:ascii="Calibri" w:hAnsi="Calibri"/>
                <w:b/>
              </w:rPr>
              <w:t>ACTIVIDADES DE AUDITORÍA</w:t>
            </w:r>
            <w:r w:rsidRPr="006E0748">
              <w:rPr>
                <w:rFonts w:ascii="Calibri" w:hAnsi="Calibri"/>
                <w:b/>
              </w:rPr>
              <w:t>.</w:t>
            </w:r>
          </w:p>
        </w:tc>
      </w:tr>
      <w:tr w:rsidR="006247A1" w:rsidRPr="009C3E57" w:rsidTr="00A70D0F">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6247A1" w:rsidRPr="006E0748" w:rsidRDefault="006247A1" w:rsidP="00A70D0F">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6247A1" w:rsidRPr="00E40050" w:rsidRDefault="00E40050" w:rsidP="00E40050">
            <w:pPr>
              <w:pStyle w:val="Default"/>
              <w:numPr>
                <w:ilvl w:val="0"/>
                <w:numId w:val="30"/>
              </w:numPr>
              <w:rPr>
                <w:color w:val="365F91" w:themeColor="accent1" w:themeShade="BF"/>
              </w:rPr>
            </w:pPr>
            <w:r w:rsidRPr="00E40050">
              <w:rPr>
                <w:bCs/>
                <w:iCs/>
                <w:sz w:val="22"/>
                <w:szCs w:val="22"/>
              </w:rPr>
              <w:t>PC 08.2. Gestión de apoyo técnico e instrumental para el desarrollo de la actividad práctica docente e investigadora.</w:t>
            </w:r>
          </w:p>
        </w:tc>
      </w:tr>
      <w:tr w:rsidR="006247A1" w:rsidRPr="006E0748" w:rsidTr="00A70D0F">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6247A1" w:rsidRPr="006E0748" w:rsidRDefault="006247A1" w:rsidP="00A70D0F">
            <w:r>
              <w:rPr>
                <w:b/>
              </w:rPr>
              <w:t>RESPONSABLE/S AUDITADO/S</w:t>
            </w:r>
          </w:p>
        </w:tc>
        <w:tc>
          <w:tcPr>
            <w:tcW w:w="7513" w:type="dxa"/>
            <w:tcBorders>
              <w:left w:val="single" w:sz="4" w:space="0" w:color="auto"/>
              <w:bottom w:val="single" w:sz="4" w:space="0" w:color="auto"/>
            </w:tcBorders>
            <w:vAlign w:val="center"/>
          </w:tcPr>
          <w:p w:rsidR="006247A1" w:rsidRDefault="00E40050" w:rsidP="00A53C61">
            <w:pPr>
              <w:numPr>
                <w:ilvl w:val="0"/>
                <w:numId w:val="29"/>
              </w:numPr>
            </w:pPr>
            <w:r>
              <w:t>Antonio J. García Rodríguez. Departamento de Física.</w:t>
            </w:r>
          </w:p>
          <w:p w:rsidR="00A53C61" w:rsidRPr="00C55B1B" w:rsidRDefault="00E718D3" w:rsidP="00287925">
            <w:pPr>
              <w:numPr>
                <w:ilvl w:val="0"/>
                <w:numId w:val="29"/>
              </w:numPr>
            </w:pPr>
            <w:r>
              <w:t xml:space="preserve">Luis Miguel </w:t>
            </w:r>
            <w:proofErr w:type="spellStart"/>
            <w:r>
              <w:t>Lietor</w:t>
            </w:r>
            <w:proofErr w:type="spellEnd"/>
            <w:r>
              <w:t xml:space="preserve"> Fuentes</w:t>
            </w:r>
            <w:r w:rsidR="00E40050">
              <w:t>. Departamento de Ingeniería Eléctrica.</w:t>
            </w:r>
          </w:p>
        </w:tc>
      </w:tr>
      <w:tr w:rsidR="006247A1" w:rsidRPr="006E0748" w:rsidTr="00A70D0F">
        <w:trPr>
          <w:trHeight w:val="345"/>
        </w:trPr>
        <w:tc>
          <w:tcPr>
            <w:tcW w:w="2376" w:type="dxa"/>
            <w:shd w:val="clear" w:color="auto" w:fill="F2F2F2" w:themeFill="background1" w:themeFillShade="F2"/>
            <w:vAlign w:val="center"/>
          </w:tcPr>
          <w:p w:rsidR="006247A1" w:rsidRPr="006E0748" w:rsidRDefault="006247A1" w:rsidP="00A70D0F">
            <w:r>
              <w:rPr>
                <w:b/>
              </w:rPr>
              <w:t>AUDITORES</w:t>
            </w:r>
          </w:p>
        </w:tc>
        <w:tc>
          <w:tcPr>
            <w:tcW w:w="7513" w:type="dxa"/>
            <w:vAlign w:val="center"/>
          </w:tcPr>
          <w:p w:rsidR="006247A1" w:rsidRPr="006E0748" w:rsidRDefault="00A53C61" w:rsidP="00A70D0F">
            <w:pPr>
              <w:numPr>
                <w:ilvl w:val="0"/>
                <w:numId w:val="29"/>
              </w:numPr>
            </w:pPr>
            <w:r>
              <w:t>Maica López Asperilla</w:t>
            </w:r>
          </w:p>
        </w:tc>
      </w:tr>
    </w:tbl>
    <w:p w:rsidR="006247A1" w:rsidRDefault="006247A1" w:rsidP="006247A1">
      <w:pPr>
        <w:spacing w:line="240" w:lineRule="auto"/>
      </w:pPr>
    </w:p>
    <w:p w:rsidR="006247A1" w:rsidRDefault="006247A1" w:rsidP="006247A1">
      <w:pPr>
        <w:spacing w:line="240" w:lineRule="auto"/>
      </w:pPr>
    </w:p>
    <w:p w:rsidR="006247A1" w:rsidRPr="004B6142" w:rsidRDefault="006247A1" w:rsidP="006247A1">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p>
    <w:p w:rsidR="006247A1" w:rsidRPr="009A341D" w:rsidRDefault="006247A1" w:rsidP="006247A1">
      <w:pPr>
        <w:pBdr>
          <w:top w:val="single" w:sz="4" w:space="1" w:color="auto"/>
          <w:left w:val="single" w:sz="4" w:space="3" w:color="auto"/>
          <w:bottom w:val="single" w:sz="4" w:space="1" w:color="auto"/>
          <w:right w:val="single" w:sz="4" w:space="4" w:color="auto"/>
        </w:pBdr>
        <w:spacing w:line="240" w:lineRule="auto"/>
      </w:pPr>
      <w:r w:rsidRPr="00353EC4">
        <w:rPr>
          <w:color w:val="365F91" w:themeColor="accent1" w:themeShade="BF"/>
        </w:rPr>
        <w:t xml:space="preserve"> </w:t>
      </w:r>
      <w:r w:rsidRPr="009A341D">
        <w:t xml:space="preserve">El proceso de auditoría se inicia a las </w:t>
      </w:r>
      <w:r w:rsidR="00287925">
        <w:t>9</w:t>
      </w:r>
      <w:r w:rsidRPr="009A341D">
        <w:t>:</w:t>
      </w:r>
      <w:r w:rsidR="00364CAA">
        <w:t>00</w:t>
      </w:r>
      <w:r w:rsidRPr="009A341D">
        <w:t xml:space="preserve"> horas del día </w:t>
      </w:r>
      <w:r w:rsidR="00364CAA">
        <w:t>13</w:t>
      </w:r>
      <w:r w:rsidR="00895857" w:rsidRPr="00895857">
        <w:rPr>
          <w:color w:val="000000" w:themeColor="text1"/>
        </w:rPr>
        <w:t xml:space="preserve"> de noviembre de 2017</w:t>
      </w:r>
      <w:r w:rsidRPr="00895857">
        <w:rPr>
          <w:color w:val="000000" w:themeColor="text1"/>
        </w:rPr>
        <w:t xml:space="preserve"> </w:t>
      </w:r>
      <w:r w:rsidR="00E718D3">
        <w:rPr>
          <w:color w:val="000000" w:themeColor="text1"/>
        </w:rPr>
        <w:t xml:space="preserve">en las dependencias del Departamento de Física (A3-385) y posteriormente se </w:t>
      </w:r>
      <w:r w:rsidR="00CA533D">
        <w:rPr>
          <w:color w:val="000000" w:themeColor="text1"/>
        </w:rPr>
        <w:t>continúa</w:t>
      </w:r>
      <w:r w:rsidR="00E718D3">
        <w:rPr>
          <w:color w:val="000000" w:themeColor="text1"/>
        </w:rPr>
        <w:t xml:space="preserve"> en las dependencias del Departamento de Ingeniería Eléctrica (A3-272)</w:t>
      </w:r>
      <w:r w:rsidRPr="009A341D">
        <w:t>.</w:t>
      </w:r>
    </w:p>
    <w:p w:rsidR="006247A1" w:rsidRDefault="006247A1" w:rsidP="006247A1">
      <w:pPr>
        <w:pBdr>
          <w:top w:val="single" w:sz="4" w:space="1" w:color="auto"/>
          <w:left w:val="single" w:sz="4" w:space="3" w:color="auto"/>
          <w:bottom w:val="single" w:sz="4" w:space="1" w:color="auto"/>
          <w:right w:val="single" w:sz="4" w:space="4" w:color="auto"/>
        </w:pBdr>
        <w:spacing w:line="240" w:lineRule="auto"/>
        <w:rPr>
          <w:u w:val="single"/>
        </w:rPr>
      </w:pPr>
    </w:p>
    <w:p w:rsidR="006247A1" w:rsidRDefault="006247A1" w:rsidP="006247A1">
      <w:pPr>
        <w:pBdr>
          <w:top w:val="single" w:sz="4" w:space="1" w:color="auto"/>
          <w:left w:val="single" w:sz="4" w:space="3" w:color="auto"/>
          <w:bottom w:val="single" w:sz="4" w:space="1" w:color="auto"/>
          <w:right w:val="single" w:sz="4" w:space="4" w:color="auto"/>
        </w:pBdr>
        <w:spacing w:line="240" w:lineRule="auto"/>
        <w:rPr>
          <w:u w:val="single"/>
        </w:rPr>
      </w:pPr>
      <w:r w:rsidRPr="00BB6BF1">
        <w:rPr>
          <w:u w:val="single"/>
        </w:rPr>
        <w:t>Evidencias.</w:t>
      </w:r>
      <w:r w:rsidRPr="00F77DD6">
        <w:rPr>
          <w:u w:val="single"/>
        </w:rPr>
        <w:t xml:space="preserve"> </w:t>
      </w:r>
      <w:r>
        <w:rPr>
          <w:u w:val="single"/>
        </w:rPr>
        <w:t xml:space="preserve"> </w:t>
      </w:r>
      <w:r w:rsidRPr="00BB6BF1">
        <w:rPr>
          <w:u w:val="single"/>
        </w:rPr>
        <w:t>Actividades de verificación.</w:t>
      </w:r>
    </w:p>
    <w:p w:rsidR="006247A1" w:rsidRDefault="006247A1" w:rsidP="006247A1">
      <w:pPr>
        <w:pBdr>
          <w:top w:val="single" w:sz="4" w:space="1" w:color="auto"/>
          <w:left w:val="single" w:sz="4" w:space="3" w:color="auto"/>
          <w:bottom w:val="single" w:sz="4" w:space="1" w:color="auto"/>
          <w:right w:val="single" w:sz="4" w:space="4" w:color="auto"/>
        </w:pBdr>
        <w:spacing w:line="240" w:lineRule="auto"/>
        <w:rPr>
          <w:u w:val="single"/>
        </w:rPr>
      </w:pPr>
    </w:p>
    <w:p w:rsidR="00E718D3" w:rsidRPr="008A6B30" w:rsidRDefault="006C6CFA" w:rsidP="008A6B30">
      <w:pPr>
        <w:pBdr>
          <w:top w:val="single" w:sz="4" w:space="1" w:color="auto"/>
          <w:left w:val="single" w:sz="4" w:space="3" w:color="auto"/>
          <w:bottom w:val="single" w:sz="4" w:space="1" w:color="auto"/>
          <w:right w:val="single" w:sz="4" w:space="4" w:color="auto"/>
        </w:pBdr>
        <w:spacing w:line="240" w:lineRule="auto"/>
        <w:jc w:val="both"/>
      </w:pPr>
      <w:r w:rsidRPr="008A6B30">
        <w:t xml:space="preserve">Se comprueba </w:t>
      </w:r>
      <w:r w:rsidR="00C2019B" w:rsidRPr="008A6B30">
        <w:t xml:space="preserve">la trazabilidad del proceso </w:t>
      </w:r>
      <w:r w:rsidR="00E718D3" w:rsidRPr="008A6B30">
        <w:t xml:space="preserve">en el Departamento de Física </w:t>
      </w:r>
      <w:r w:rsidRPr="008A6B30">
        <w:t>con dos solicitudes</w:t>
      </w:r>
      <w:r w:rsidR="00C57C0F" w:rsidRPr="008A6B30">
        <w:t xml:space="preserve"> registradas en la aplicación inform</w:t>
      </w:r>
      <w:r w:rsidR="00287925" w:rsidRPr="008A6B30">
        <w:t xml:space="preserve">ática </w:t>
      </w:r>
      <w:r w:rsidR="00E718D3" w:rsidRPr="008A6B30">
        <w:t>PETRUS.</w:t>
      </w:r>
      <w:r w:rsidR="00287925" w:rsidRPr="008A6B30">
        <w:t xml:space="preserve"> La primera </w:t>
      </w:r>
      <w:r w:rsidR="00E718D3" w:rsidRPr="008A6B30">
        <w:t>es una solicitud de Apoyo a la Docencia Presencial del profesor</w:t>
      </w:r>
      <w:r w:rsidR="00093E2C">
        <w:t xml:space="preserve"> identificado con siglas AAM</w:t>
      </w:r>
      <w:r w:rsidR="00E718D3" w:rsidRPr="008A6B30">
        <w:t xml:space="preserve"> en la que solicita 4 sesiones de la asignatura Física I para el grado de Ciencias Ambientales en el laboratorio de Física (A3-473). Las prácticas se desarrollaron en dos sesiones los días 25 de octubre de 2017 y 8 de noviembre de 2017. El profesor no presentó su solicitud a través del programa establecido por lo que el técnico </w:t>
      </w:r>
      <w:r w:rsidR="00093E2C">
        <w:t>la incluyó</w:t>
      </w:r>
      <w:r w:rsidR="00E718D3" w:rsidRPr="008A6B30">
        <w:t xml:space="preserve"> en el programa el </w:t>
      </w:r>
      <w:r w:rsidR="00ED40B7" w:rsidRPr="008A6B30">
        <w:t>9</w:t>
      </w:r>
      <w:r w:rsidR="00E718D3" w:rsidRPr="008A6B30">
        <w:t xml:space="preserve"> de noviembre de 2017</w:t>
      </w:r>
      <w:r w:rsidR="00ED40B7" w:rsidRPr="008A6B30">
        <w:t xml:space="preserve"> finalizando en el mismo día.</w:t>
      </w:r>
    </w:p>
    <w:p w:rsidR="00E718D3" w:rsidRPr="008A6B30" w:rsidRDefault="00E718D3" w:rsidP="008A6B30">
      <w:pPr>
        <w:pBdr>
          <w:top w:val="single" w:sz="4" w:space="1" w:color="auto"/>
          <w:left w:val="single" w:sz="4" w:space="3" w:color="auto"/>
          <w:bottom w:val="single" w:sz="4" w:space="1" w:color="auto"/>
          <w:right w:val="single" w:sz="4" w:space="4" w:color="auto"/>
        </w:pBdr>
        <w:spacing w:line="240" w:lineRule="auto"/>
        <w:jc w:val="both"/>
      </w:pPr>
    </w:p>
    <w:p w:rsidR="00D611B1" w:rsidRPr="008A6B30" w:rsidRDefault="00E718D3" w:rsidP="008A6B30">
      <w:pPr>
        <w:pBdr>
          <w:top w:val="single" w:sz="4" w:space="1" w:color="auto"/>
          <w:left w:val="single" w:sz="4" w:space="3" w:color="auto"/>
          <w:bottom w:val="single" w:sz="4" w:space="1" w:color="auto"/>
          <w:right w:val="single" w:sz="4" w:space="4" w:color="auto"/>
        </w:pBdr>
        <w:spacing w:line="240" w:lineRule="auto"/>
        <w:jc w:val="both"/>
      </w:pPr>
      <w:r w:rsidRPr="008A6B30">
        <w:t xml:space="preserve">La segunda solicitud es de </w:t>
      </w:r>
      <w:r w:rsidR="00D611B1" w:rsidRPr="008A6B30">
        <w:t xml:space="preserve">la profesora </w:t>
      </w:r>
      <w:r w:rsidR="00093E2C">
        <w:t>identificada con siglas EG</w:t>
      </w:r>
      <w:r w:rsidR="00D611B1" w:rsidRPr="008A6B30">
        <w:t xml:space="preserve"> del 13 de febrero, en la que solicita el montaje de prácticas para cinco grupos con cuatro sesiones para cada grupo con apoyo presencial en laboratorio de Física sito en el A3-473. Las sesiones se iniciaron el 27 de febrero y finalizaron el 8 de mayo.</w:t>
      </w:r>
      <w:r w:rsidR="00ED40B7" w:rsidRPr="008A6B30">
        <w:t xml:space="preserve"> La fecha de finalización de la consulta coincide con la fecha del último día de prácticas.</w:t>
      </w:r>
    </w:p>
    <w:p w:rsidR="00D611B1" w:rsidRPr="008A6B30" w:rsidRDefault="00D611B1" w:rsidP="008A6B30">
      <w:pPr>
        <w:pBdr>
          <w:top w:val="single" w:sz="4" w:space="1" w:color="auto"/>
          <w:left w:val="single" w:sz="4" w:space="3" w:color="auto"/>
          <w:bottom w:val="single" w:sz="4" w:space="1" w:color="auto"/>
          <w:right w:val="single" w:sz="4" w:space="4" w:color="auto"/>
        </w:pBdr>
        <w:spacing w:line="240" w:lineRule="auto"/>
        <w:jc w:val="both"/>
      </w:pPr>
    </w:p>
    <w:p w:rsidR="007E54D7" w:rsidRPr="008A6B30" w:rsidRDefault="00D611B1" w:rsidP="008A6B30">
      <w:pPr>
        <w:pBdr>
          <w:top w:val="single" w:sz="4" w:space="1" w:color="auto"/>
          <w:left w:val="single" w:sz="4" w:space="3" w:color="auto"/>
          <w:bottom w:val="single" w:sz="4" w:space="1" w:color="auto"/>
          <w:right w:val="single" w:sz="4" w:space="4" w:color="auto"/>
        </w:pBdr>
        <w:spacing w:line="240" w:lineRule="auto"/>
        <w:jc w:val="both"/>
      </w:pPr>
      <w:r w:rsidRPr="008A6B30">
        <w:t xml:space="preserve">En el Departamento de Ingeniería Eléctrica </w:t>
      </w:r>
      <w:r w:rsidR="00ED40B7" w:rsidRPr="008A6B30">
        <w:t xml:space="preserve">se comprueba la trazabilidad con la solicitud del profesor </w:t>
      </w:r>
      <w:r w:rsidR="00A81E95">
        <w:t>identificado con siglas FSS</w:t>
      </w:r>
      <w:r w:rsidR="00ED40B7" w:rsidRPr="008A6B30">
        <w:t xml:space="preserve"> del 9 de noviembre, en la solicita el montaje de dos fuentes de portátiles y tres analizadores para unas prácticas. El día 10 de este mes estaban preparadas. </w:t>
      </w:r>
    </w:p>
    <w:p w:rsidR="007E54D7" w:rsidRPr="008A6B30" w:rsidRDefault="007E54D7" w:rsidP="008A6B30">
      <w:pPr>
        <w:pBdr>
          <w:top w:val="single" w:sz="4" w:space="1" w:color="auto"/>
          <w:left w:val="single" w:sz="4" w:space="3" w:color="auto"/>
          <w:bottom w:val="single" w:sz="4" w:space="1" w:color="auto"/>
          <w:right w:val="single" w:sz="4" w:space="4" w:color="auto"/>
        </w:pBdr>
        <w:spacing w:line="240" w:lineRule="auto"/>
        <w:jc w:val="both"/>
      </w:pPr>
    </w:p>
    <w:p w:rsidR="006247A1" w:rsidRPr="008A6B30" w:rsidRDefault="00ED40B7" w:rsidP="008A6B30">
      <w:pPr>
        <w:pBdr>
          <w:top w:val="single" w:sz="4" w:space="1" w:color="auto"/>
          <w:left w:val="single" w:sz="4" w:space="3" w:color="auto"/>
          <w:bottom w:val="single" w:sz="4" w:space="1" w:color="auto"/>
          <w:right w:val="single" w:sz="4" w:space="4" w:color="auto"/>
        </w:pBdr>
        <w:spacing w:line="240" w:lineRule="auto"/>
        <w:jc w:val="both"/>
      </w:pPr>
      <w:r w:rsidRPr="008A6B30">
        <w:t>El siguiente registro que se verificó fue la resolución práctica de una consulta presentada por el profesor</w:t>
      </w:r>
      <w:r w:rsidR="00A81E95">
        <w:t xml:space="preserve"> identificado con siglas ALV</w:t>
      </w:r>
      <w:r w:rsidRPr="008A6B30">
        <w:t xml:space="preserve"> sobre el Laboratorio de Iluminación el 22 de febrero. Al profesor no le funcionaba el software NEPLAN, le pide la llave local y no le deja acceder a su ejecución. Se le contesta el mismo día 22 que debe desactivar el </w:t>
      </w:r>
      <w:proofErr w:type="spellStart"/>
      <w:r w:rsidRPr="008A6B30">
        <w:t>fireware</w:t>
      </w:r>
      <w:proofErr w:type="spellEnd"/>
      <w:r w:rsidRPr="008A6B30">
        <w:t xml:space="preserve"> de </w:t>
      </w:r>
      <w:proofErr w:type="spellStart"/>
      <w:r w:rsidRPr="008A6B30">
        <w:t>window</w:t>
      </w:r>
      <w:proofErr w:type="spellEnd"/>
      <w:r w:rsidRPr="008A6B30">
        <w:t xml:space="preserve"> para que pueda verificar los permisos el servidor de la UJA. En este caso la fecha fin del programa PETRUS no estaba cumplimentada.</w:t>
      </w:r>
    </w:p>
    <w:p w:rsidR="006247A1" w:rsidRDefault="006247A1" w:rsidP="006247A1">
      <w:pPr>
        <w:pBdr>
          <w:top w:val="single" w:sz="4" w:space="1" w:color="auto"/>
          <w:left w:val="single" w:sz="4" w:space="3" w:color="auto"/>
          <w:bottom w:val="single" w:sz="4" w:space="1" w:color="auto"/>
          <w:right w:val="single" w:sz="4" w:space="4" w:color="auto"/>
        </w:pBdr>
        <w:spacing w:line="240" w:lineRule="auto"/>
        <w:rPr>
          <w:b/>
          <w:sz w:val="20"/>
          <w:szCs w:val="20"/>
        </w:rPr>
      </w:pPr>
    </w:p>
    <w:p w:rsidR="006247A1" w:rsidRDefault="006247A1" w:rsidP="006247A1">
      <w:pPr>
        <w:pBdr>
          <w:top w:val="single" w:sz="4" w:space="1" w:color="auto"/>
          <w:left w:val="single" w:sz="4" w:space="3" w:color="auto"/>
          <w:bottom w:val="single" w:sz="4" w:space="1" w:color="auto"/>
          <w:right w:val="single" w:sz="4" w:space="4" w:color="auto"/>
        </w:pBdr>
        <w:spacing w:line="240" w:lineRule="auto"/>
        <w:rPr>
          <w:b/>
          <w:sz w:val="20"/>
          <w:szCs w:val="20"/>
        </w:rPr>
      </w:pPr>
      <w:r>
        <w:rPr>
          <w:b/>
          <w:sz w:val="20"/>
          <w:szCs w:val="20"/>
        </w:rPr>
        <w:t>P</w:t>
      </w:r>
      <w:r w:rsidRPr="004B6142">
        <w:rPr>
          <w:b/>
          <w:sz w:val="20"/>
          <w:szCs w:val="20"/>
        </w:rPr>
        <w:t>ROPUESTA OBSERVACIÓN</w:t>
      </w:r>
    </w:p>
    <w:p w:rsidR="007B1EBB" w:rsidRDefault="006247A1" w:rsidP="006247A1">
      <w:pPr>
        <w:pBdr>
          <w:top w:val="single" w:sz="4" w:space="1" w:color="auto"/>
          <w:left w:val="single" w:sz="4" w:space="3" w:color="auto"/>
          <w:bottom w:val="single" w:sz="4" w:space="1" w:color="auto"/>
          <w:right w:val="single" w:sz="4" w:space="4" w:color="auto"/>
        </w:pBdr>
        <w:spacing w:line="240" w:lineRule="auto"/>
      </w:pPr>
      <w:r w:rsidRPr="008A6B30">
        <w:t>Se verifica la conformidad de la gestión de los procesos auditados, así como los registros asociados</w:t>
      </w:r>
      <w:r w:rsidR="008C42B7" w:rsidRPr="008A6B30">
        <w:t>.</w:t>
      </w:r>
    </w:p>
    <w:p w:rsidR="006247A1" w:rsidRDefault="007B1EBB" w:rsidP="006247A1">
      <w:pPr>
        <w:pBdr>
          <w:top w:val="single" w:sz="4" w:space="1" w:color="auto"/>
          <w:left w:val="single" w:sz="4" w:space="3" w:color="auto"/>
          <w:bottom w:val="single" w:sz="4" w:space="1" w:color="auto"/>
          <w:right w:val="single" w:sz="4" w:space="4" w:color="auto"/>
        </w:pBdr>
        <w:spacing w:line="240" w:lineRule="auto"/>
      </w:pPr>
      <w:r w:rsidRPr="007B1EBB">
        <w:t>Se recomienda a valoración de la Unidad realizar actuaciones para que sus usuarios realicen las solicitudes por el procedimiento establecido, como por ejemplo con un recordatorio de la sistemática de la prestación del servicio.</w:t>
      </w:r>
      <w:bookmarkStart w:id="0" w:name="_GoBack"/>
      <w:bookmarkEnd w:id="0"/>
    </w:p>
    <w:p w:rsidR="00AD6B4B" w:rsidRDefault="00AD6B4B" w:rsidP="006247A1">
      <w:pPr>
        <w:pBdr>
          <w:top w:val="single" w:sz="4" w:space="1" w:color="auto"/>
          <w:left w:val="single" w:sz="4" w:space="3" w:color="auto"/>
          <w:bottom w:val="single" w:sz="4" w:space="1" w:color="auto"/>
          <w:right w:val="single" w:sz="4" w:space="4" w:color="auto"/>
        </w:pBdr>
        <w:spacing w:line="240" w:lineRule="auto"/>
      </w:pPr>
    </w:p>
    <w:p w:rsidR="00AD6B4B" w:rsidRDefault="00AD6B4B" w:rsidP="006247A1">
      <w:pPr>
        <w:pBdr>
          <w:top w:val="single" w:sz="4" w:space="1" w:color="auto"/>
          <w:left w:val="single" w:sz="4" w:space="3" w:color="auto"/>
          <w:bottom w:val="single" w:sz="4" w:space="1" w:color="auto"/>
          <w:right w:val="single" w:sz="4" w:space="4" w:color="auto"/>
        </w:pBdr>
        <w:spacing w:line="240" w:lineRule="auto"/>
      </w:pPr>
    </w:p>
    <w:p w:rsidR="006247A1" w:rsidRDefault="006247A1" w:rsidP="006247A1">
      <w:pPr>
        <w:pBdr>
          <w:top w:val="single" w:sz="4" w:space="1" w:color="auto"/>
          <w:left w:val="single" w:sz="4" w:space="3" w:color="auto"/>
          <w:bottom w:val="single" w:sz="4" w:space="1" w:color="auto"/>
          <w:right w:val="single" w:sz="4" w:space="4" w:color="auto"/>
        </w:pBdr>
        <w:spacing w:line="240" w:lineRule="auto"/>
      </w:pPr>
    </w:p>
    <w:p w:rsidR="006247A1" w:rsidRDefault="006247A1" w:rsidP="006247A1">
      <w:pPr>
        <w:spacing w:line="240" w:lineRule="auto"/>
        <w:rPr>
          <w:b/>
        </w:rPr>
      </w:pPr>
    </w:p>
    <w:sectPr w:rsidR="006247A1" w:rsidSect="00717C59">
      <w:headerReference w:type="default" r:id="rId9"/>
      <w:footerReference w:type="default" r:id="rId10"/>
      <w:pgSz w:w="11906" w:h="16838" w:code="9"/>
      <w:pgMar w:top="851" w:right="1077" w:bottom="851"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B0" w:rsidRDefault="002A70B0" w:rsidP="00323545">
      <w:pPr>
        <w:spacing w:line="240" w:lineRule="auto"/>
      </w:pPr>
      <w:r>
        <w:separator/>
      </w:r>
    </w:p>
  </w:endnote>
  <w:endnote w:type="continuationSeparator" w:id="0">
    <w:p w:rsidR="002A70B0" w:rsidRDefault="002A70B0" w:rsidP="0032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altName w:val="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59" w:rsidRDefault="008B2359" w:rsidP="00255A3F">
    <w:r w:rsidRPr="00945A44">
      <w:rPr>
        <w:i/>
        <w:color w:val="808080"/>
        <w:sz w:val="16"/>
        <w:szCs w:val="16"/>
      </w:rPr>
      <w:t>Sistema Integrado de Gestión de la Calidad de los Servicios y Unidades Administrativas de la Universidad de Jaén.</w:t>
    </w:r>
    <w:r>
      <w:rPr>
        <w:i/>
        <w:color w:val="808080"/>
        <w:sz w:val="16"/>
        <w:szCs w:val="16"/>
      </w:rPr>
      <w:t xml:space="preserve">   </w:t>
    </w:r>
    <w:r>
      <w:t xml:space="preserve">Página </w:t>
    </w:r>
    <w:r>
      <w:fldChar w:fldCharType="begin"/>
    </w:r>
    <w:r>
      <w:instrText xml:space="preserve"> PAGE </w:instrText>
    </w:r>
    <w:r>
      <w:fldChar w:fldCharType="separate"/>
    </w:r>
    <w:r w:rsidR="007B1EBB">
      <w:rPr>
        <w:noProof/>
      </w:rPr>
      <w:t>2</w:t>
    </w:r>
    <w:r>
      <w:rPr>
        <w:noProof/>
      </w:rPr>
      <w:fldChar w:fldCharType="end"/>
    </w:r>
    <w:r>
      <w:t xml:space="preserve"> de </w:t>
    </w:r>
    <w:r w:rsidR="002A70B0">
      <w:fldChar w:fldCharType="begin"/>
    </w:r>
    <w:r w:rsidR="002A70B0">
      <w:instrText xml:space="preserve"> NUMPAGES  </w:instrText>
    </w:r>
    <w:r w:rsidR="002A70B0">
      <w:fldChar w:fldCharType="separate"/>
    </w:r>
    <w:r w:rsidR="007B1EBB">
      <w:rPr>
        <w:noProof/>
      </w:rPr>
      <w:t>2</w:t>
    </w:r>
    <w:r w:rsidR="002A70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B0" w:rsidRDefault="002A70B0" w:rsidP="00323545">
      <w:pPr>
        <w:spacing w:line="240" w:lineRule="auto"/>
      </w:pPr>
      <w:r>
        <w:separator/>
      </w:r>
    </w:p>
  </w:footnote>
  <w:footnote w:type="continuationSeparator" w:id="0">
    <w:p w:rsidR="002A70B0" w:rsidRDefault="002A70B0" w:rsidP="0032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8B2359" w:rsidTr="00B97F47">
      <w:trPr>
        <w:trHeight w:val="480"/>
        <w:jc w:val="center"/>
      </w:trPr>
      <w:tc>
        <w:tcPr>
          <w:tcW w:w="2467" w:type="dxa"/>
          <w:vMerge w:val="restart"/>
          <w:tcBorders>
            <w:top w:val="single" w:sz="8" w:space="0" w:color="A6A6A6"/>
            <w:left w:val="nil"/>
            <w:bottom w:val="single" w:sz="8" w:space="0" w:color="A6A6A6"/>
            <w:right w:val="nil"/>
          </w:tcBorders>
        </w:tcPr>
        <w:p w:rsidR="008B2359" w:rsidRDefault="008B2359" w:rsidP="00B97F47">
          <w:pPr>
            <w:pStyle w:val="Encabezado"/>
          </w:pPr>
          <w:r w:rsidRPr="00EA013B">
            <w:rPr>
              <w:rFonts w:ascii="Eras Bold ITC" w:hAnsi="Eras Bold ITC"/>
              <w:color w:val="808080"/>
            </w:rPr>
            <w:t>SIGC-SUA</w:t>
          </w:r>
          <w:r>
            <w:rPr>
              <w:noProof/>
            </w:rPr>
            <w:t xml:space="preserve"> </w:t>
          </w:r>
          <w:r>
            <w:rPr>
              <w:noProof/>
            </w:rPr>
            <w:drawing>
              <wp:inline distT="0" distB="0" distL="0" distR="0" wp14:anchorId="38962DD1" wp14:editId="74687434">
                <wp:extent cx="1247775" cy="390525"/>
                <wp:effectExtent l="19050" t="0" r="9525" b="0"/>
                <wp:docPr id="3"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8B2359" w:rsidRPr="00EA013B" w:rsidRDefault="008B2359" w:rsidP="00B97F47">
          <w:pPr>
            <w:pStyle w:val="Encabezado"/>
            <w:jc w:val="center"/>
            <w:rPr>
              <w:color w:val="808080"/>
            </w:rPr>
          </w:pPr>
          <w:r>
            <w:rPr>
              <w:noProof/>
            </w:rPr>
            <w:drawing>
              <wp:inline distT="0" distB="0" distL="0" distR="0" wp14:anchorId="663EE174" wp14:editId="155C1501">
                <wp:extent cx="819150" cy="657225"/>
                <wp:effectExtent l="0" t="0" r="0" b="0"/>
                <wp:docPr id="4"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8B2359" w:rsidRPr="00EA013B" w:rsidRDefault="008B2359" w:rsidP="00253D46">
          <w:pPr>
            <w:jc w:val="both"/>
            <w:rPr>
              <w:b/>
              <w:noProof/>
              <w:color w:val="808080"/>
              <w:sz w:val="20"/>
              <w:szCs w:val="20"/>
            </w:rPr>
          </w:pPr>
          <w:r>
            <w:rPr>
              <w:b/>
              <w:noProof/>
              <w:color w:val="808080"/>
              <w:sz w:val="20"/>
              <w:szCs w:val="20"/>
            </w:rPr>
            <w:t>Auditoría Interna. Ciclo de Gestión 201</w:t>
          </w:r>
          <w:r w:rsidR="00253D46">
            <w:rPr>
              <w:b/>
              <w:noProof/>
              <w:color w:val="808080"/>
              <w:sz w:val="20"/>
              <w:szCs w:val="20"/>
            </w:rPr>
            <w:t>7</w:t>
          </w:r>
        </w:p>
      </w:tc>
    </w:tr>
    <w:tr w:rsidR="008B2359" w:rsidRPr="006A30E0" w:rsidTr="00B97F47">
      <w:trPr>
        <w:trHeight w:val="198"/>
        <w:jc w:val="center"/>
      </w:trPr>
      <w:tc>
        <w:tcPr>
          <w:tcW w:w="2467" w:type="dxa"/>
          <w:vMerge/>
          <w:tcBorders>
            <w:top w:val="nil"/>
            <w:left w:val="nil"/>
            <w:bottom w:val="single" w:sz="8" w:space="0" w:color="A6A6A6"/>
            <w:right w:val="nil"/>
          </w:tcBorders>
        </w:tcPr>
        <w:p w:rsidR="008B2359" w:rsidRDefault="008B2359" w:rsidP="00B97F47">
          <w:pPr>
            <w:pStyle w:val="Encabezado"/>
            <w:rPr>
              <w:noProof/>
            </w:rPr>
          </w:pPr>
        </w:p>
      </w:tc>
      <w:tc>
        <w:tcPr>
          <w:tcW w:w="2469" w:type="dxa"/>
          <w:vMerge/>
          <w:tcBorders>
            <w:left w:val="nil"/>
            <w:bottom w:val="single" w:sz="8" w:space="0" w:color="A6A6A6"/>
          </w:tcBorders>
          <w:vAlign w:val="center"/>
        </w:tcPr>
        <w:p w:rsidR="008B2359" w:rsidRPr="00EA013B" w:rsidRDefault="008B2359" w:rsidP="00B97F47">
          <w:pPr>
            <w:pStyle w:val="Encabezado"/>
            <w:rPr>
              <w:b/>
              <w:color w:val="808080"/>
            </w:rPr>
          </w:pPr>
        </w:p>
      </w:tc>
      <w:tc>
        <w:tcPr>
          <w:tcW w:w="4758" w:type="dxa"/>
          <w:tcBorders>
            <w:top w:val="single" w:sz="8" w:space="0" w:color="A6A6A6"/>
            <w:bottom w:val="single" w:sz="8" w:space="0" w:color="A6A6A6"/>
            <w:right w:val="nil"/>
          </w:tcBorders>
          <w:vAlign w:val="center"/>
        </w:tcPr>
        <w:p w:rsidR="008B2359" w:rsidRPr="006A30E0" w:rsidRDefault="00D434E9" w:rsidP="00D434E9">
          <w:pPr>
            <w:rPr>
              <w:b/>
              <w:noProof/>
              <w:color w:val="808080"/>
              <w:sz w:val="20"/>
              <w:szCs w:val="20"/>
              <w:lang w:val="en-US"/>
            </w:rPr>
          </w:pPr>
          <w:r>
            <w:rPr>
              <w:b/>
              <w:noProof/>
              <w:color w:val="808080"/>
              <w:sz w:val="20"/>
              <w:szCs w:val="20"/>
              <w:lang w:val="en-US"/>
            </w:rPr>
            <w:t>Noviembre</w:t>
          </w:r>
          <w:r w:rsidR="008B2359">
            <w:rPr>
              <w:b/>
              <w:noProof/>
              <w:color w:val="808080"/>
              <w:sz w:val="20"/>
              <w:szCs w:val="20"/>
              <w:lang w:val="en-US"/>
            </w:rPr>
            <w:t xml:space="preserve"> 2017</w:t>
          </w:r>
        </w:p>
      </w:tc>
    </w:tr>
  </w:tbl>
  <w:p w:rsidR="008B2359" w:rsidRDefault="008B23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270"/>
    <w:multiLevelType w:val="hybridMultilevel"/>
    <w:tmpl w:val="A76205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645B10"/>
    <w:multiLevelType w:val="hybridMultilevel"/>
    <w:tmpl w:val="29703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CC6480"/>
    <w:multiLevelType w:val="hybridMultilevel"/>
    <w:tmpl w:val="960238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4A47A5"/>
    <w:multiLevelType w:val="hybridMultilevel"/>
    <w:tmpl w:val="4C2C9EFE"/>
    <w:lvl w:ilvl="0" w:tplc="0A329E2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C3F56AC"/>
    <w:multiLevelType w:val="hybridMultilevel"/>
    <w:tmpl w:val="BC547B7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9014135"/>
    <w:multiLevelType w:val="hybridMultilevel"/>
    <w:tmpl w:val="4816E36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85E256D"/>
    <w:multiLevelType w:val="hybridMultilevel"/>
    <w:tmpl w:val="2272EE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89615C6"/>
    <w:multiLevelType w:val="hybridMultilevel"/>
    <w:tmpl w:val="6A5812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20167F7"/>
    <w:multiLevelType w:val="hybridMultilevel"/>
    <w:tmpl w:val="59AC88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6612B1D"/>
    <w:multiLevelType w:val="hybridMultilevel"/>
    <w:tmpl w:val="7250FE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78A3371"/>
    <w:multiLevelType w:val="hybridMultilevel"/>
    <w:tmpl w:val="0E9837FE"/>
    <w:lvl w:ilvl="0" w:tplc="1F1CF416">
      <w:start w:val="1"/>
      <w:numFmt w:val="bullet"/>
      <w:lvlText w:val=""/>
      <w:lvlJc w:val="left"/>
      <w:pPr>
        <w:ind w:left="360" w:hanging="360"/>
      </w:pPr>
      <w:rPr>
        <w:rFonts w:ascii="Wingdings" w:hAnsi="Wingdings" w:hint="default"/>
        <w:b/>
        <w:i w:val="0"/>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98C3B2E"/>
    <w:multiLevelType w:val="hybridMultilevel"/>
    <w:tmpl w:val="29703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3439CC"/>
    <w:multiLevelType w:val="hybridMultilevel"/>
    <w:tmpl w:val="3F4002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4DC25E9A"/>
    <w:multiLevelType w:val="hybridMultilevel"/>
    <w:tmpl w:val="2E0C039A"/>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DC94AA2"/>
    <w:multiLevelType w:val="hybridMultilevel"/>
    <w:tmpl w:val="D93098D8"/>
    <w:lvl w:ilvl="0" w:tplc="E7705AAE">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54174EB"/>
    <w:multiLevelType w:val="hybridMultilevel"/>
    <w:tmpl w:val="3DBA85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4E00CC"/>
    <w:multiLevelType w:val="hybridMultilevel"/>
    <w:tmpl w:val="964C6E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5DD4478D"/>
    <w:multiLevelType w:val="hybridMultilevel"/>
    <w:tmpl w:val="E0DCF3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24003D8"/>
    <w:multiLevelType w:val="hybridMultilevel"/>
    <w:tmpl w:val="B70484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69B935C8"/>
    <w:multiLevelType w:val="hybridMultilevel"/>
    <w:tmpl w:val="117AB13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A8C5327"/>
    <w:multiLevelType w:val="hybridMultilevel"/>
    <w:tmpl w:val="58820D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FF5485"/>
    <w:multiLevelType w:val="hybridMultilevel"/>
    <w:tmpl w:val="63D8C45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1092CFF"/>
    <w:multiLevelType w:val="hybridMultilevel"/>
    <w:tmpl w:val="889C498A"/>
    <w:lvl w:ilvl="0" w:tplc="DBD28D70">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564E57"/>
    <w:multiLevelType w:val="hybridMultilevel"/>
    <w:tmpl w:val="8ED883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15B7C0B"/>
    <w:multiLevelType w:val="hybridMultilevel"/>
    <w:tmpl w:val="B94292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17325F5"/>
    <w:multiLevelType w:val="hybridMultilevel"/>
    <w:tmpl w:val="C83E8D9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3206DE3"/>
    <w:multiLevelType w:val="hybridMultilevel"/>
    <w:tmpl w:val="BD1693E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73E26FCA"/>
    <w:multiLevelType w:val="hybridMultilevel"/>
    <w:tmpl w:val="83D29C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7D866083"/>
    <w:multiLevelType w:val="hybridMultilevel"/>
    <w:tmpl w:val="C19E4B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num>
  <w:num w:numId="6">
    <w:abstractNumId w:val="7"/>
  </w:num>
  <w:num w:numId="7">
    <w:abstractNumId w:val="13"/>
  </w:num>
  <w:num w:numId="8">
    <w:abstractNumId w:val="5"/>
  </w:num>
  <w:num w:numId="9">
    <w:abstractNumId w:val="26"/>
  </w:num>
  <w:num w:numId="10">
    <w:abstractNumId w:val="4"/>
  </w:num>
  <w:num w:numId="11">
    <w:abstractNumId w:val="11"/>
  </w:num>
  <w:num w:numId="12">
    <w:abstractNumId w:val="1"/>
  </w:num>
  <w:num w:numId="13">
    <w:abstractNumId w:val="19"/>
  </w:num>
  <w:num w:numId="14">
    <w:abstractNumId w:val="21"/>
  </w:num>
  <w:num w:numId="15">
    <w:abstractNumId w:val="15"/>
  </w:num>
  <w:num w:numId="16">
    <w:abstractNumId w:val="8"/>
  </w:num>
  <w:num w:numId="17">
    <w:abstractNumId w:val="16"/>
  </w:num>
  <w:num w:numId="18">
    <w:abstractNumId w:val="27"/>
  </w:num>
  <w:num w:numId="19">
    <w:abstractNumId w:val="25"/>
  </w:num>
  <w:num w:numId="20">
    <w:abstractNumId w:val="18"/>
  </w:num>
  <w:num w:numId="21">
    <w:abstractNumId w:val="24"/>
  </w:num>
  <w:num w:numId="22">
    <w:abstractNumId w:val="6"/>
  </w:num>
  <w:num w:numId="23">
    <w:abstractNumId w:val="12"/>
  </w:num>
  <w:num w:numId="24">
    <w:abstractNumId w:val="23"/>
  </w:num>
  <w:num w:numId="25">
    <w:abstractNumId w:val="28"/>
  </w:num>
  <w:num w:numId="26">
    <w:abstractNumId w:val="17"/>
  </w:num>
  <w:num w:numId="27">
    <w:abstractNumId w:val="22"/>
  </w:num>
  <w:num w:numId="28">
    <w:abstractNumId w:val="2"/>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E"/>
    <w:rsid w:val="00003E50"/>
    <w:rsid w:val="000040C5"/>
    <w:rsid w:val="00013E71"/>
    <w:rsid w:val="00017CD5"/>
    <w:rsid w:val="000267A6"/>
    <w:rsid w:val="0003401F"/>
    <w:rsid w:val="00044EAE"/>
    <w:rsid w:val="00050DA9"/>
    <w:rsid w:val="00053733"/>
    <w:rsid w:val="000638F2"/>
    <w:rsid w:val="00063CD3"/>
    <w:rsid w:val="00065B74"/>
    <w:rsid w:val="00065CD4"/>
    <w:rsid w:val="00072A35"/>
    <w:rsid w:val="00083203"/>
    <w:rsid w:val="000836F0"/>
    <w:rsid w:val="00086ABC"/>
    <w:rsid w:val="000909B0"/>
    <w:rsid w:val="00093E2C"/>
    <w:rsid w:val="000A2776"/>
    <w:rsid w:val="000A7855"/>
    <w:rsid w:val="000B042C"/>
    <w:rsid w:val="000B166E"/>
    <w:rsid w:val="000B3A52"/>
    <w:rsid w:val="000B57F9"/>
    <w:rsid w:val="000B6DCC"/>
    <w:rsid w:val="000C19A4"/>
    <w:rsid w:val="000C599F"/>
    <w:rsid w:val="000C6FFF"/>
    <w:rsid w:val="000D147D"/>
    <w:rsid w:val="000D6A11"/>
    <w:rsid w:val="000D6B84"/>
    <w:rsid w:val="000E2197"/>
    <w:rsid w:val="000E2CC3"/>
    <w:rsid w:val="000E4E23"/>
    <w:rsid w:val="000F1E78"/>
    <w:rsid w:val="000F576E"/>
    <w:rsid w:val="001028AF"/>
    <w:rsid w:val="00103940"/>
    <w:rsid w:val="00120104"/>
    <w:rsid w:val="00123C15"/>
    <w:rsid w:val="001335BA"/>
    <w:rsid w:val="001436BA"/>
    <w:rsid w:val="00144FFE"/>
    <w:rsid w:val="0015104C"/>
    <w:rsid w:val="001633AC"/>
    <w:rsid w:val="00175B20"/>
    <w:rsid w:val="00180EE1"/>
    <w:rsid w:val="0018686F"/>
    <w:rsid w:val="00190731"/>
    <w:rsid w:val="0019377E"/>
    <w:rsid w:val="0019613A"/>
    <w:rsid w:val="001979D7"/>
    <w:rsid w:val="001A3EED"/>
    <w:rsid w:val="001A56AE"/>
    <w:rsid w:val="001B1774"/>
    <w:rsid w:val="001C7FBC"/>
    <w:rsid w:val="001E1D3F"/>
    <w:rsid w:val="001E6474"/>
    <w:rsid w:val="001F103E"/>
    <w:rsid w:val="001F5D77"/>
    <w:rsid w:val="00205DB8"/>
    <w:rsid w:val="00212C53"/>
    <w:rsid w:val="002151D9"/>
    <w:rsid w:val="00216ED3"/>
    <w:rsid w:val="002247AD"/>
    <w:rsid w:val="00232DCD"/>
    <w:rsid w:val="0024475E"/>
    <w:rsid w:val="0024554B"/>
    <w:rsid w:val="00245D0A"/>
    <w:rsid w:val="00246FB9"/>
    <w:rsid w:val="00252C56"/>
    <w:rsid w:val="00253D46"/>
    <w:rsid w:val="0025429F"/>
    <w:rsid w:val="00255491"/>
    <w:rsid w:val="00255A3F"/>
    <w:rsid w:val="00260F4B"/>
    <w:rsid w:val="00261873"/>
    <w:rsid w:val="00263C45"/>
    <w:rsid w:val="0027043D"/>
    <w:rsid w:val="00275DD5"/>
    <w:rsid w:val="002761F9"/>
    <w:rsid w:val="00284B30"/>
    <w:rsid w:val="00286E44"/>
    <w:rsid w:val="00287925"/>
    <w:rsid w:val="00295A2A"/>
    <w:rsid w:val="00296377"/>
    <w:rsid w:val="002A70B0"/>
    <w:rsid w:val="002C01D0"/>
    <w:rsid w:val="002C54C3"/>
    <w:rsid w:val="002C6041"/>
    <w:rsid w:val="002C63CE"/>
    <w:rsid w:val="002E3F44"/>
    <w:rsid w:val="002E6D70"/>
    <w:rsid w:val="002F3F6F"/>
    <w:rsid w:val="002F6FF3"/>
    <w:rsid w:val="002F7651"/>
    <w:rsid w:val="003104CE"/>
    <w:rsid w:val="00310E52"/>
    <w:rsid w:val="00314915"/>
    <w:rsid w:val="003156A0"/>
    <w:rsid w:val="00323545"/>
    <w:rsid w:val="0032483B"/>
    <w:rsid w:val="00326055"/>
    <w:rsid w:val="00330286"/>
    <w:rsid w:val="0033546F"/>
    <w:rsid w:val="00341C91"/>
    <w:rsid w:val="0034657E"/>
    <w:rsid w:val="0035256C"/>
    <w:rsid w:val="00352E82"/>
    <w:rsid w:val="00353A57"/>
    <w:rsid w:val="00364CAA"/>
    <w:rsid w:val="0036563C"/>
    <w:rsid w:val="00366BEB"/>
    <w:rsid w:val="00367AA5"/>
    <w:rsid w:val="0038243C"/>
    <w:rsid w:val="00383B6D"/>
    <w:rsid w:val="003871D1"/>
    <w:rsid w:val="003A07AF"/>
    <w:rsid w:val="003A47C6"/>
    <w:rsid w:val="003A563C"/>
    <w:rsid w:val="003A5ACE"/>
    <w:rsid w:val="003A5B4C"/>
    <w:rsid w:val="003C4CDA"/>
    <w:rsid w:val="003D546F"/>
    <w:rsid w:val="003E0A5E"/>
    <w:rsid w:val="003E1133"/>
    <w:rsid w:val="003E38E9"/>
    <w:rsid w:val="003E5898"/>
    <w:rsid w:val="003E5C00"/>
    <w:rsid w:val="00404559"/>
    <w:rsid w:val="00412B22"/>
    <w:rsid w:val="00414491"/>
    <w:rsid w:val="00414E9E"/>
    <w:rsid w:val="00415128"/>
    <w:rsid w:val="004247B6"/>
    <w:rsid w:val="00432522"/>
    <w:rsid w:val="004408BC"/>
    <w:rsid w:val="004447B5"/>
    <w:rsid w:val="00446225"/>
    <w:rsid w:val="00446E19"/>
    <w:rsid w:val="00451535"/>
    <w:rsid w:val="00454251"/>
    <w:rsid w:val="00456D7E"/>
    <w:rsid w:val="00457190"/>
    <w:rsid w:val="004727D4"/>
    <w:rsid w:val="004747D9"/>
    <w:rsid w:val="00481482"/>
    <w:rsid w:val="004959F3"/>
    <w:rsid w:val="004B16D9"/>
    <w:rsid w:val="004B3D59"/>
    <w:rsid w:val="004B408C"/>
    <w:rsid w:val="004B4C29"/>
    <w:rsid w:val="004B6142"/>
    <w:rsid w:val="004C2D92"/>
    <w:rsid w:val="004E1371"/>
    <w:rsid w:val="004E365C"/>
    <w:rsid w:val="00504E96"/>
    <w:rsid w:val="00506910"/>
    <w:rsid w:val="005153D5"/>
    <w:rsid w:val="00520607"/>
    <w:rsid w:val="005211A9"/>
    <w:rsid w:val="00523665"/>
    <w:rsid w:val="0052398F"/>
    <w:rsid w:val="005278EC"/>
    <w:rsid w:val="00537CCB"/>
    <w:rsid w:val="00540F91"/>
    <w:rsid w:val="00550CE2"/>
    <w:rsid w:val="00550CF3"/>
    <w:rsid w:val="00552021"/>
    <w:rsid w:val="00553C55"/>
    <w:rsid w:val="00555520"/>
    <w:rsid w:val="00557CCB"/>
    <w:rsid w:val="00562604"/>
    <w:rsid w:val="0056531F"/>
    <w:rsid w:val="005654D2"/>
    <w:rsid w:val="0056751E"/>
    <w:rsid w:val="00582EBF"/>
    <w:rsid w:val="0058677C"/>
    <w:rsid w:val="005871C3"/>
    <w:rsid w:val="00587354"/>
    <w:rsid w:val="00592B84"/>
    <w:rsid w:val="005937E8"/>
    <w:rsid w:val="005A25B4"/>
    <w:rsid w:val="005B0BFF"/>
    <w:rsid w:val="005B4EF5"/>
    <w:rsid w:val="005D1896"/>
    <w:rsid w:val="005D2531"/>
    <w:rsid w:val="006040B3"/>
    <w:rsid w:val="0061224F"/>
    <w:rsid w:val="0061559F"/>
    <w:rsid w:val="00616F9F"/>
    <w:rsid w:val="006247A1"/>
    <w:rsid w:val="00644EFC"/>
    <w:rsid w:val="00652A56"/>
    <w:rsid w:val="00660D83"/>
    <w:rsid w:val="00662B54"/>
    <w:rsid w:val="00663BB0"/>
    <w:rsid w:val="00666534"/>
    <w:rsid w:val="006761FB"/>
    <w:rsid w:val="00680FBF"/>
    <w:rsid w:val="006866BD"/>
    <w:rsid w:val="00692A6C"/>
    <w:rsid w:val="006A068B"/>
    <w:rsid w:val="006A7F5A"/>
    <w:rsid w:val="006C1405"/>
    <w:rsid w:val="006C2257"/>
    <w:rsid w:val="006C6CFA"/>
    <w:rsid w:val="006D1D8D"/>
    <w:rsid w:val="006E0215"/>
    <w:rsid w:val="006E0748"/>
    <w:rsid w:val="006E54CD"/>
    <w:rsid w:val="006E5B37"/>
    <w:rsid w:val="006E67AB"/>
    <w:rsid w:val="006E6F9A"/>
    <w:rsid w:val="006F629D"/>
    <w:rsid w:val="0070284C"/>
    <w:rsid w:val="00703FE1"/>
    <w:rsid w:val="007122FB"/>
    <w:rsid w:val="00712433"/>
    <w:rsid w:val="00717BEB"/>
    <w:rsid w:val="00717C59"/>
    <w:rsid w:val="00726C21"/>
    <w:rsid w:val="00746C4E"/>
    <w:rsid w:val="00747F34"/>
    <w:rsid w:val="00747FCE"/>
    <w:rsid w:val="00763860"/>
    <w:rsid w:val="00764436"/>
    <w:rsid w:val="00772B5D"/>
    <w:rsid w:val="00772E88"/>
    <w:rsid w:val="007741B1"/>
    <w:rsid w:val="00774659"/>
    <w:rsid w:val="00774F35"/>
    <w:rsid w:val="0077507F"/>
    <w:rsid w:val="00780D3C"/>
    <w:rsid w:val="00790CE8"/>
    <w:rsid w:val="00791B88"/>
    <w:rsid w:val="007924BD"/>
    <w:rsid w:val="007A2658"/>
    <w:rsid w:val="007A5525"/>
    <w:rsid w:val="007B1EBB"/>
    <w:rsid w:val="007B3213"/>
    <w:rsid w:val="007B36B6"/>
    <w:rsid w:val="007B470A"/>
    <w:rsid w:val="007B5643"/>
    <w:rsid w:val="007B7DEE"/>
    <w:rsid w:val="007C4B9D"/>
    <w:rsid w:val="007C66A3"/>
    <w:rsid w:val="007D0BE4"/>
    <w:rsid w:val="007D128C"/>
    <w:rsid w:val="007D3492"/>
    <w:rsid w:val="007E23E8"/>
    <w:rsid w:val="007E54D7"/>
    <w:rsid w:val="007E6706"/>
    <w:rsid w:val="007F2F57"/>
    <w:rsid w:val="007F7506"/>
    <w:rsid w:val="0080658D"/>
    <w:rsid w:val="00825277"/>
    <w:rsid w:val="00834CFE"/>
    <w:rsid w:val="008360C2"/>
    <w:rsid w:val="00845030"/>
    <w:rsid w:val="00853CE4"/>
    <w:rsid w:val="00855AD1"/>
    <w:rsid w:val="00856F2A"/>
    <w:rsid w:val="008574EB"/>
    <w:rsid w:val="008609FF"/>
    <w:rsid w:val="00860B3D"/>
    <w:rsid w:val="00861895"/>
    <w:rsid w:val="00864A79"/>
    <w:rsid w:val="00866F88"/>
    <w:rsid w:val="00874BDE"/>
    <w:rsid w:val="00876FE3"/>
    <w:rsid w:val="008872E7"/>
    <w:rsid w:val="00887CD0"/>
    <w:rsid w:val="0089213C"/>
    <w:rsid w:val="00895857"/>
    <w:rsid w:val="008A6B30"/>
    <w:rsid w:val="008B2359"/>
    <w:rsid w:val="008C2A46"/>
    <w:rsid w:val="008C35B0"/>
    <w:rsid w:val="008C42B7"/>
    <w:rsid w:val="008D06CF"/>
    <w:rsid w:val="008D1CBE"/>
    <w:rsid w:val="008D1DBF"/>
    <w:rsid w:val="008D47A9"/>
    <w:rsid w:val="008E3820"/>
    <w:rsid w:val="008E53F8"/>
    <w:rsid w:val="008E6563"/>
    <w:rsid w:val="008F56F1"/>
    <w:rsid w:val="00900CFA"/>
    <w:rsid w:val="0090655B"/>
    <w:rsid w:val="00907D79"/>
    <w:rsid w:val="00912DAA"/>
    <w:rsid w:val="00920987"/>
    <w:rsid w:val="00937566"/>
    <w:rsid w:val="00941D35"/>
    <w:rsid w:val="00941F2D"/>
    <w:rsid w:val="00942964"/>
    <w:rsid w:val="00947AE4"/>
    <w:rsid w:val="00952DD2"/>
    <w:rsid w:val="009628E2"/>
    <w:rsid w:val="0096573B"/>
    <w:rsid w:val="00972C8C"/>
    <w:rsid w:val="00984C58"/>
    <w:rsid w:val="009879D3"/>
    <w:rsid w:val="00990646"/>
    <w:rsid w:val="009944C7"/>
    <w:rsid w:val="009966E6"/>
    <w:rsid w:val="009A3A33"/>
    <w:rsid w:val="009A76AE"/>
    <w:rsid w:val="009B03D7"/>
    <w:rsid w:val="009B689A"/>
    <w:rsid w:val="009C3E57"/>
    <w:rsid w:val="009D7576"/>
    <w:rsid w:val="009E0B5F"/>
    <w:rsid w:val="009E1FDD"/>
    <w:rsid w:val="009F6332"/>
    <w:rsid w:val="00A0323D"/>
    <w:rsid w:val="00A048FA"/>
    <w:rsid w:val="00A20198"/>
    <w:rsid w:val="00A330FB"/>
    <w:rsid w:val="00A359C6"/>
    <w:rsid w:val="00A44B3F"/>
    <w:rsid w:val="00A514B4"/>
    <w:rsid w:val="00A53C61"/>
    <w:rsid w:val="00A564CE"/>
    <w:rsid w:val="00A56B15"/>
    <w:rsid w:val="00A62671"/>
    <w:rsid w:val="00A62A10"/>
    <w:rsid w:val="00A63AE4"/>
    <w:rsid w:val="00A65680"/>
    <w:rsid w:val="00A66B0F"/>
    <w:rsid w:val="00A76A36"/>
    <w:rsid w:val="00A7726F"/>
    <w:rsid w:val="00A817E6"/>
    <w:rsid w:val="00A81D88"/>
    <w:rsid w:val="00A81E95"/>
    <w:rsid w:val="00A81F39"/>
    <w:rsid w:val="00A90A94"/>
    <w:rsid w:val="00A92B4C"/>
    <w:rsid w:val="00AA5457"/>
    <w:rsid w:val="00AB3E35"/>
    <w:rsid w:val="00AB41DE"/>
    <w:rsid w:val="00AB6534"/>
    <w:rsid w:val="00AD2C62"/>
    <w:rsid w:val="00AD5315"/>
    <w:rsid w:val="00AD6AF8"/>
    <w:rsid w:val="00AD6B4B"/>
    <w:rsid w:val="00AD77DB"/>
    <w:rsid w:val="00AE021C"/>
    <w:rsid w:val="00AE1AE6"/>
    <w:rsid w:val="00B00565"/>
    <w:rsid w:val="00B0451E"/>
    <w:rsid w:val="00B168D6"/>
    <w:rsid w:val="00B20100"/>
    <w:rsid w:val="00B2282C"/>
    <w:rsid w:val="00B240C4"/>
    <w:rsid w:val="00B2642B"/>
    <w:rsid w:val="00B27306"/>
    <w:rsid w:val="00B31819"/>
    <w:rsid w:val="00B34261"/>
    <w:rsid w:val="00B449E4"/>
    <w:rsid w:val="00B456C9"/>
    <w:rsid w:val="00B52166"/>
    <w:rsid w:val="00B53D50"/>
    <w:rsid w:val="00B53FDF"/>
    <w:rsid w:val="00B547AD"/>
    <w:rsid w:val="00B67FB3"/>
    <w:rsid w:val="00B72B0B"/>
    <w:rsid w:val="00B72BF8"/>
    <w:rsid w:val="00B72C91"/>
    <w:rsid w:val="00B74726"/>
    <w:rsid w:val="00B959D2"/>
    <w:rsid w:val="00B97EF0"/>
    <w:rsid w:val="00B97F47"/>
    <w:rsid w:val="00BB07E5"/>
    <w:rsid w:val="00BB3F8F"/>
    <w:rsid w:val="00BB725B"/>
    <w:rsid w:val="00BD128E"/>
    <w:rsid w:val="00BD4A66"/>
    <w:rsid w:val="00BE178A"/>
    <w:rsid w:val="00BF71C8"/>
    <w:rsid w:val="00BF7890"/>
    <w:rsid w:val="00BF7DBA"/>
    <w:rsid w:val="00C01BDE"/>
    <w:rsid w:val="00C06B6E"/>
    <w:rsid w:val="00C157CF"/>
    <w:rsid w:val="00C163C1"/>
    <w:rsid w:val="00C2019B"/>
    <w:rsid w:val="00C25064"/>
    <w:rsid w:val="00C4179E"/>
    <w:rsid w:val="00C42E55"/>
    <w:rsid w:val="00C51983"/>
    <w:rsid w:val="00C55B1B"/>
    <w:rsid w:val="00C57C0F"/>
    <w:rsid w:val="00C75D53"/>
    <w:rsid w:val="00C842C0"/>
    <w:rsid w:val="00C942D9"/>
    <w:rsid w:val="00C957E6"/>
    <w:rsid w:val="00C96F42"/>
    <w:rsid w:val="00CA533D"/>
    <w:rsid w:val="00CA6CDB"/>
    <w:rsid w:val="00CA6EB4"/>
    <w:rsid w:val="00CB486F"/>
    <w:rsid w:val="00CB6AB3"/>
    <w:rsid w:val="00CC3E6A"/>
    <w:rsid w:val="00CD6815"/>
    <w:rsid w:val="00CF6B0E"/>
    <w:rsid w:val="00CF75CA"/>
    <w:rsid w:val="00D05BF4"/>
    <w:rsid w:val="00D119AA"/>
    <w:rsid w:val="00D12469"/>
    <w:rsid w:val="00D262F8"/>
    <w:rsid w:val="00D434E9"/>
    <w:rsid w:val="00D472D6"/>
    <w:rsid w:val="00D607E8"/>
    <w:rsid w:val="00D61161"/>
    <w:rsid w:val="00D611B1"/>
    <w:rsid w:val="00D64F7E"/>
    <w:rsid w:val="00D715BF"/>
    <w:rsid w:val="00D729A7"/>
    <w:rsid w:val="00D743B1"/>
    <w:rsid w:val="00D7474F"/>
    <w:rsid w:val="00D752B8"/>
    <w:rsid w:val="00D80F23"/>
    <w:rsid w:val="00D82B17"/>
    <w:rsid w:val="00D86E4D"/>
    <w:rsid w:val="00D90DDF"/>
    <w:rsid w:val="00D9147E"/>
    <w:rsid w:val="00DA2373"/>
    <w:rsid w:val="00DA2415"/>
    <w:rsid w:val="00DA6571"/>
    <w:rsid w:val="00DB13D0"/>
    <w:rsid w:val="00DC7819"/>
    <w:rsid w:val="00DD164F"/>
    <w:rsid w:val="00DD2AC3"/>
    <w:rsid w:val="00DD2E68"/>
    <w:rsid w:val="00DD5CA8"/>
    <w:rsid w:val="00DE5459"/>
    <w:rsid w:val="00DF23AC"/>
    <w:rsid w:val="00E104CF"/>
    <w:rsid w:val="00E10F93"/>
    <w:rsid w:val="00E176D3"/>
    <w:rsid w:val="00E17B14"/>
    <w:rsid w:val="00E31E46"/>
    <w:rsid w:val="00E32E94"/>
    <w:rsid w:val="00E32FEA"/>
    <w:rsid w:val="00E3348B"/>
    <w:rsid w:val="00E34BCB"/>
    <w:rsid w:val="00E40050"/>
    <w:rsid w:val="00E4079D"/>
    <w:rsid w:val="00E44A6D"/>
    <w:rsid w:val="00E45B56"/>
    <w:rsid w:val="00E570D0"/>
    <w:rsid w:val="00E63982"/>
    <w:rsid w:val="00E718D3"/>
    <w:rsid w:val="00E72A9D"/>
    <w:rsid w:val="00E86ADF"/>
    <w:rsid w:val="00E87459"/>
    <w:rsid w:val="00EB52A8"/>
    <w:rsid w:val="00EC2802"/>
    <w:rsid w:val="00ED0D51"/>
    <w:rsid w:val="00ED145E"/>
    <w:rsid w:val="00ED181E"/>
    <w:rsid w:val="00ED40B7"/>
    <w:rsid w:val="00ED6266"/>
    <w:rsid w:val="00EE73BB"/>
    <w:rsid w:val="00F00F06"/>
    <w:rsid w:val="00F11D47"/>
    <w:rsid w:val="00F12B43"/>
    <w:rsid w:val="00F13EAE"/>
    <w:rsid w:val="00F25576"/>
    <w:rsid w:val="00F260E7"/>
    <w:rsid w:val="00F26EA1"/>
    <w:rsid w:val="00F33AAD"/>
    <w:rsid w:val="00F41C5C"/>
    <w:rsid w:val="00F42073"/>
    <w:rsid w:val="00F443CB"/>
    <w:rsid w:val="00F53578"/>
    <w:rsid w:val="00F54313"/>
    <w:rsid w:val="00F92F30"/>
    <w:rsid w:val="00FA1E60"/>
    <w:rsid w:val="00FA4D64"/>
    <w:rsid w:val="00FB2C4D"/>
    <w:rsid w:val="00FC31EE"/>
    <w:rsid w:val="00FD3A4A"/>
    <w:rsid w:val="00FD4883"/>
    <w:rsid w:val="00FF5B6D"/>
    <w:rsid w:val="00FF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E"/>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basedOn w:val="Fuentedeprrafopredeter"/>
    <w:link w:val="Prrafodelista"/>
    <w:uiPriority w:val="34"/>
    <w:rsid w:val="009966E6"/>
  </w:style>
  <w:style w:type="paragraph" w:customStyle="1" w:styleId="Default">
    <w:name w:val="Default"/>
    <w:rsid w:val="0061224F"/>
    <w:pPr>
      <w:autoSpaceDE w:val="0"/>
      <w:autoSpaceDN w:val="0"/>
      <w:adjustRightInd w:val="0"/>
      <w:spacing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59"/>
    <w:rsid w:val="00BD4A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2506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E"/>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basedOn w:val="Fuentedeprrafopredeter"/>
    <w:link w:val="Prrafodelista"/>
    <w:uiPriority w:val="34"/>
    <w:rsid w:val="009966E6"/>
  </w:style>
  <w:style w:type="paragraph" w:customStyle="1" w:styleId="Default">
    <w:name w:val="Default"/>
    <w:rsid w:val="0061224F"/>
    <w:pPr>
      <w:autoSpaceDE w:val="0"/>
      <w:autoSpaceDN w:val="0"/>
      <w:adjustRightInd w:val="0"/>
      <w:spacing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59"/>
    <w:rsid w:val="00BD4A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2506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975">
      <w:bodyDiv w:val="1"/>
      <w:marLeft w:val="0"/>
      <w:marRight w:val="0"/>
      <w:marTop w:val="0"/>
      <w:marBottom w:val="0"/>
      <w:divBdr>
        <w:top w:val="none" w:sz="0" w:space="0" w:color="auto"/>
        <w:left w:val="none" w:sz="0" w:space="0" w:color="auto"/>
        <w:bottom w:val="none" w:sz="0" w:space="0" w:color="auto"/>
        <w:right w:val="none" w:sz="0" w:space="0" w:color="auto"/>
      </w:divBdr>
    </w:div>
    <w:div w:id="421729995">
      <w:bodyDiv w:val="1"/>
      <w:marLeft w:val="0"/>
      <w:marRight w:val="0"/>
      <w:marTop w:val="0"/>
      <w:marBottom w:val="0"/>
      <w:divBdr>
        <w:top w:val="none" w:sz="0" w:space="0" w:color="auto"/>
        <w:left w:val="none" w:sz="0" w:space="0" w:color="auto"/>
        <w:bottom w:val="none" w:sz="0" w:space="0" w:color="auto"/>
        <w:right w:val="none" w:sz="0" w:space="0" w:color="auto"/>
      </w:divBdr>
    </w:div>
    <w:div w:id="439300539">
      <w:bodyDiv w:val="1"/>
      <w:marLeft w:val="0"/>
      <w:marRight w:val="0"/>
      <w:marTop w:val="0"/>
      <w:marBottom w:val="0"/>
      <w:divBdr>
        <w:top w:val="none" w:sz="0" w:space="0" w:color="auto"/>
        <w:left w:val="none" w:sz="0" w:space="0" w:color="auto"/>
        <w:bottom w:val="none" w:sz="0" w:space="0" w:color="auto"/>
        <w:right w:val="none" w:sz="0" w:space="0" w:color="auto"/>
      </w:divBdr>
    </w:div>
    <w:div w:id="851988195">
      <w:bodyDiv w:val="1"/>
      <w:marLeft w:val="0"/>
      <w:marRight w:val="0"/>
      <w:marTop w:val="0"/>
      <w:marBottom w:val="0"/>
      <w:divBdr>
        <w:top w:val="none" w:sz="0" w:space="0" w:color="auto"/>
        <w:left w:val="none" w:sz="0" w:space="0" w:color="auto"/>
        <w:bottom w:val="none" w:sz="0" w:space="0" w:color="auto"/>
        <w:right w:val="none" w:sz="0" w:space="0" w:color="auto"/>
      </w:divBdr>
    </w:div>
    <w:div w:id="947008584">
      <w:bodyDiv w:val="1"/>
      <w:marLeft w:val="0"/>
      <w:marRight w:val="0"/>
      <w:marTop w:val="0"/>
      <w:marBottom w:val="0"/>
      <w:divBdr>
        <w:top w:val="none" w:sz="0" w:space="0" w:color="auto"/>
        <w:left w:val="none" w:sz="0" w:space="0" w:color="auto"/>
        <w:bottom w:val="none" w:sz="0" w:space="0" w:color="auto"/>
        <w:right w:val="none" w:sz="0" w:space="0" w:color="auto"/>
      </w:divBdr>
    </w:div>
    <w:div w:id="1055809950">
      <w:bodyDiv w:val="1"/>
      <w:marLeft w:val="0"/>
      <w:marRight w:val="0"/>
      <w:marTop w:val="0"/>
      <w:marBottom w:val="0"/>
      <w:divBdr>
        <w:top w:val="none" w:sz="0" w:space="0" w:color="auto"/>
        <w:left w:val="none" w:sz="0" w:space="0" w:color="auto"/>
        <w:bottom w:val="none" w:sz="0" w:space="0" w:color="auto"/>
        <w:right w:val="none" w:sz="0" w:space="0" w:color="auto"/>
      </w:divBdr>
    </w:div>
    <w:div w:id="1137574850">
      <w:bodyDiv w:val="1"/>
      <w:marLeft w:val="0"/>
      <w:marRight w:val="0"/>
      <w:marTop w:val="0"/>
      <w:marBottom w:val="0"/>
      <w:divBdr>
        <w:top w:val="none" w:sz="0" w:space="0" w:color="auto"/>
        <w:left w:val="none" w:sz="0" w:space="0" w:color="auto"/>
        <w:bottom w:val="none" w:sz="0" w:space="0" w:color="auto"/>
        <w:right w:val="none" w:sz="0" w:space="0" w:color="auto"/>
      </w:divBdr>
    </w:div>
    <w:div w:id="1150248943">
      <w:bodyDiv w:val="1"/>
      <w:marLeft w:val="0"/>
      <w:marRight w:val="0"/>
      <w:marTop w:val="0"/>
      <w:marBottom w:val="0"/>
      <w:divBdr>
        <w:top w:val="none" w:sz="0" w:space="0" w:color="auto"/>
        <w:left w:val="none" w:sz="0" w:space="0" w:color="auto"/>
        <w:bottom w:val="none" w:sz="0" w:space="0" w:color="auto"/>
        <w:right w:val="none" w:sz="0" w:space="0" w:color="auto"/>
      </w:divBdr>
    </w:div>
    <w:div w:id="1272863494">
      <w:bodyDiv w:val="1"/>
      <w:marLeft w:val="0"/>
      <w:marRight w:val="0"/>
      <w:marTop w:val="0"/>
      <w:marBottom w:val="0"/>
      <w:divBdr>
        <w:top w:val="none" w:sz="0" w:space="0" w:color="auto"/>
        <w:left w:val="none" w:sz="0" w:space="0" w:color="auto"/>
        <w:bottom w:val="none" w:sz="0" w:space="0" w:color="auto"/>
        <w:right w:val="none" w:sz="0" w:space="0" w:color="auto"/>
      </w:divBdr>
    </w:div>
    <w:div w:id="1610237079">
      <w:bodyDiv w:val="1"/>
      <w:marLeft w:val="0"/>
      <w:marRight w:val="0"/>
      <w:marTop w:val="0"/>
      <w:marBottom w:val="0"/>
      <w:divBdr>
        <w:top w:val="none" w:sz="0" w:space="0" w:color="auto"/>
        <w:left w:val="none" w:sz="0" w:space="0" w:color="auto"/>
        <w:bottom w:val="none" w:sz="0" w:space="0" w:color="auto"/>
        <w:right w:val="none" w:sz="0" w:space="0" w:color="auto"/>
      </w:divBdr>
    </w:div>
    <w:div w:id="1614753348">
      <w:bodyDiv w:val="1"/>
      <w:marLeft w:val="0"/>
      <w:marRight w:val="0"/>
      <w:marTop w:val="0"/>
      <w:marBottom w:val="0"/>
      <w:divBdr>
        <w:top w:val="none" w:sz="0" w:space="0" w:color="auto"/>
        <w:left w:val="none" w:sz="0" w:space="0" w:color="auto"/>
        <w:bottom w:val="none" w:sz="0" w:space="0" w:color="auto"/>
        <w:right w:val="none" w:sz="0" w:space="0" w:color="auto"/>
      </w:divBdr>
      <w:divsChild>
        <w:div w:id="1835217502">
          <w:marLeft w:val="0"/>
          <w:marRight w:val="0"/>
          <w:marTop w:val="0"/>
          <w:marBottom w:val="0"/>
          <w:divBdr>
            <w:top w:val="none" w:sz="0" w:space="0" w:color="auto"/>
            <w:left w:val="none" w:sz="0" w:space="0" w:color="auto"/>
            <w:bottom w:val="none" w:sz="0" w:space="0" w:color="auto"/>
            <w:right w:val="none" w:sz="0" w:space="0" w:color="auto"/>
          </w:divBdr>
          <w:divsChild>
            <w:div w:id="946815090">
              <w:marLeft w:val="0"/>
              <w:marRight w:val="0"/>
              <w:marTop w:val="0"/>
              <w:marBottom w:val="0"/>
              <w:divBdr>
                <w:top w:val="none" w:sz="0" w:space="0" w:color="auto"/>
                <w:left w:val="none" w:sz="0" w:space="0" w:color="auto"/>
                <w:bottom w:val="none" w:sz="0" w:space="0" w:color="auto"/>
                <w:right w:val="none" w:sz="0" w:space="0" w:color="auto"/>
              </w:divBdr>
              <w:divsChild>
                <w:div w:id="870069430">
                  <w:marLeft w:val="0"/>
                  <w:marRight w:val="0"/>
                  <w:marTop w:val="0"/>
                  <w:marBottom w:val="0"/>
                  <w:divBdr>
                    <w:top w:val="none" w:sz="0" w:space="0" w:color="auto"/>
                    <w:left w:val="none" w:sz="0" w:space="0" w:color="auto"/>
                    <w:bottom w:val="none" w:sz="0" w:space="0" w:color="auto"/>
                    <w:right w:val="none" w:sz="0" w:space="0" w:color="auto"/>
                  </w:divBdr>
                  <w:divsChild>
                    <w:div w:id="727194924">
                      <w:marLeft w:val="0"/>
                      <w:marRight w:val="0"/>
                      <w:marTop w:val="0"/>
                      <w:marBottom w:val="0"/>
                      <w:divBdr>
                        <w:top w:val="none" w:sz="0" w:space="0" w:color="auto"/>
                        <w:left w:val="none" w:sz="0" w:space="0" w:color="auto"/>
                        <w:bottom w:val="none" w:sz="0" w:space="0" w:color="auto"/>
                        <w:right w:val="none" w:sz="0" w:space="0" w:color="auto"/>
                      </w:divBdr>
                      <w:divsChild>
                        <w:div w:id="1476024357">
                          <w:marLeft w:val="0"/>
                          <w:marRight w:val="0"/>
                          <w:marTop w:val="0"/>
                          <w:marBottom w:val="0"/>
                          <w:divBdr>
                            <w:top w:val="none" w:sz="0" w:space="0" w:color="auto"/>
                            <w:left w:val="none" w:sz="0" w:space="0" w:color="auto"/>
                            <w:bottom w:val="none" w:sz="0" w:space="0" w:color="auto"/>
                            <w:right w:val="none" w:sz="0" w:space="0" w:color="auto"/>
                          </w:divBdr>
                          <w:divsChild>
                            <w:div w:id="964386101">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sChild>
                                            <w:div w:id="1953703822">
                                              <w:marLeft w:val="0"/>
                                              <w:marRight w:val="0"/>
                                              <w:marTop w:val="0"/>
                                              <w:marBottom w:val="0"/>
                                              <w:divBdr>
                                                <w:top w:val="none" w:sz="0" w:space="0" w:color="auto"/>
                                                <w:left w:val="none" w:sz="0" w:space="0" w:color="auto"/>
                                                <w:bottom w:val="none" w:sz="0" w:space="0" w:color="auto"/>
                                                <w:right w:val="none" w:sz="0" w:space="0" w:color="auto"/>
                                              </w:divBdr>
                                              <w:divsChild>
                                                <w:div w:id="1168132364">
                                                  <w:marLeft w:val="0"/>
                                                  <w:marRight w:val="0"/>
                                                  <w:marTop w:val="0"/>
                                                  <w:marBottom w:val="0"/>
                                                  <w:divBdr>
                                                    <w:top w:val="none" w:sz="0" w:space="0" w:color="auto"/>
                                                    <w:left w:val="none" w:sz="0" w:space="0" w:color="auto"/>
                                                    <w:bottom w:val="none" w:sz="0" w:space="0" w:color="auto"/>
                                                    <w:right w:val="none" w:sz="0" w:space="0" w:color="auto"/>
                                                  </w:divBdr>
                                                  <w:divsChild>
                                                    <w:div w:id="1095974261">
                                                      <w:marLeft w:val="0"/>
                                                      <w:marRight w:val="0"/>
                                                      <w:marTop w:val="0"/>
                                                      <w:marBottom w:val="0"/>
                                                      <w:divBdr>
                                                        <w:top w:val="none" w:sz="0" w:space="0" w:color="auto"/>
                                                        <w:left w:val="none" w:sz="0" w:space="0" w:color="auto"/>
                                                        <w:bottom w:val="none" w:sz="0" w:space="0" w:color="auto"/>
                                                        <w:right w:val="none" w:sz="0" w:space="0" w:color="auto"/>
                                                      </w:divBdr>
                                                      <w:divsChild>
                                                        <w:div w:id="1864514559">
                                                          <w:marLeft w:val="0"/>
                                                          <w:marRight w:val="0"/>
                                                          <w:marTop w:val="0"/>
                                                          <w:marBottom w:val="0"/>
                                                          <w:divBdr>
                                                            <w:top w:val="none" w:sz="0" w:space="0" w:color="auto"/>
                                                            <w:left w:val="none" w:sz="0" w:space="0" w:color="auto"/>
                                                            <w:bottom w:val="none" w:sz="0" w:space="0" w:color="auto"/>
                                                            <w:right w:val="none" w:sz="0" w:space="0" w:color="auto"/>
                                                          </w:divBdr>
                                                          <w:divsChild>
                                                            <w:div w:id="177164063">
                                                              <w:marLeft w:val="0"/>
                                                              <w:marRight w:val="0"/>
                                                              <w:marTop w:val="0"/>
                                                              <w:marBottom w:val="0"/>
                                                              <w:divBdr>
                                                                <w:top w:val="none" w:sz="0" w:space="0" w:color="auto"/>
                                                                <w:left w:val="none" w:sz="0" w:space="0" w:color="auto"/>
                                                                <w:bottom w:val="none" w:sz="0" w:space="0" w:color="auto"/>
                                                                <w:right w:val="none" w:sz="0" w:space="0" w:color="auto"/>
                                                              </w:divBdr>
                                                              <w:divsChild>
                                                                <w:div w:id="1331955479">
                                                                  <w:marLeft w:val="0"/>
                                                                  <w:marRight w:val="0"/>
                                                                  <w:marTop w:val="0"/>
                                                                  <w:marBottom w:val="0"/>
                                                                  <w:divBdr>
                                                                    <w:top w:val="none" w:sz="0" w:space="0" w:color="auto"/>
                                                                    <w:left w:val="none" w:sz="0" w:space="0" w:color="auto"/>
                                                                    <w:bottom w:val="none" w:sz="0" w:space="0" w:color="auto"/>
                                                                    <w:right w:val="none" w:sz="0" w:space="0" w:color="auto"/>
                                                                  </w:divBdr>
                                                                  <w:divsChild>
                                                                    <w:div w:id="1891963504">
                                                                      <w:marLeft w:val="0"/>
                                                                      <w:marRight w:val="0"/>
                                                                      <w:marTop w:val="0"/>
                                                                      <w:marBottom w:val="0"/>
                                                                      <w:divBdr>
                                                                        <w:top w:val="none" w:sz="0" w:space="0" w:color="auto"/>
                                                                        <w:left w:val="none" w:sz="0" w:space="0" w:color="auto"/>
                                                                        <w:bottom w:val="none" w:sz="0" w:space="0" w:color="auto"/>
                                                                        <w:right w:val="none" w:sz="0" w:space="0" w:color="auto"/>
                                                                      </w:divBdr>
                                                                      <w:divsChild>
                                                                        <w:div w:id="1850287680">
                                                                          <w:marLeft w:val="0"/>
                                                                          <w:marRight w:val="0"/>
                                                                          <w:marTop w:val="0"/>
                                                                          <w:marBottom w:val="0"/>
                                                                          <w:divBdr>
                                                                            <w:top w:val="none" w:sz="0" w:space="0" w:color="auto"/>
                                                                            <w:left w:val="none" w:sz="0" w:space="0" w:color="auto"/>
                                                                            <w:bottom w:val="none" w:sz="0" w:space="0" w:color="auto"/>
                                                                            <w:right w:val="none" w:sz="0" w:space="0" w:color="auto"/>
                                                                          </w:divBdr>
                                                                          <w:divsChild>
                                                                            <w:div w:id="2081975974">
                                                                              <w:marLeft w:val="0"/>
                                                                              <w:marRight w:val="0"/>
                                                                              <w:marTop w:val="0"/>
                                                                              <w:marBottom w:val="0"/>
                                                                              <w:divBdr>
                                                                                <w:top w:val="none" w:sz="0" w:space="0" w:color="auto"/>
                                                                                <w:left w:val="none" w:sz="0" w:space="0" w:color="auto"/>
                                                                                <w:bottom w:val="none" w:sz="0" w:space="0" w:color="auto"/>
                                                                                <w:right w:val="none" w:sz="0" w:space="0" w:color="auto"/>
                                                                              </w:divBdr>
                                                                              <w:divsChild>
                                                                                <w:div w:id="1766804819">
                                                                                  <w:marLeft w:val="0"/>
                                                                                  <w:marRight w:val="0"/>
                                                                                  <w:marTop w:val="0"/>
                                                                                  <w:marBottom w:val="0"/>
                                                                                  <w:divBdr>
                                                                                    <w:top w:val="none" w:sz="0" w:space="0" w:color="auto"/>
                                                                                    <w:left w:val="none" w:sz="0" w:space="0" w:color="auto"/>
                                                                                    <w:bottom w:val="none" w:sz="0" w:space="0" w:color="auto"/>
                                                                                    <w:right w:val="none" w:sz="0" w:space="0" w:color="auto"/>
                                                                                  </w:divBdr>
                                                                                  <w:divsChild>
                                                                                    <w:div w:id="658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155733">
      <w:bodyDiv w:val="1"/>
      <w:marLeft w:val="0"/>
      <w:marRight w:val="0"/>
      <w:marTop w:val="0"/>
      <w:marBottom w:val="0"/>
      <w:divBdr>
        <w:top w:val="none" w:sz="0" w:space="0" w:color="auto"/>
        <w:left w:val="none" w:sz="0" w:space="0" w:color="auto"/>
        <w:bottom w:val="none" w:sz="0" w:space="0" w:color="auto"/>
        <w:right w:val="none" w:sz="0" w:space="0" w:color="auto"/>
      </w:divBdr>
    </w:div>
    <w:div w:id="1764108211">
      <w:bodyDiv w:val="1"/>
      <w:marLeft w:val="0"/>
      <w:marRight w:val="0"/>
      <w:marTop w:val="0"/>
      <w:marBottom w:val="0"/>
      <w:divBdr>
        <w:top w:val="none" w:sz="0" w:space="0" w:color="auto"/>
        <w:left w:val="none" w:sz="0" w:space="0" w:color="auto"/>
        <w:bottom w:val="none" w:sz="0" w:space="0" w:color="auto"/>
        <w:right w:val="none" w:sz="0" w:space="0" w:color="auto"/>
      </w:divBdr>
    </w:div>
    <w:div w:id="1858346086">
      <w:bodyDiv w:val="1"/>
      <w:marLeft w:val="0"/>
      <w:marRight w:val="0"/>
      <w:marTop w:val="0"/>
      <w:marBottom w:val="0"/>
      <w:divBdr>
        <w:top w:val="none" w:sz="0" w:space="0" w:color="auto"/>
        <w:left w:val="none" w:sz="0" w:space="0" w:color="auto"/>
        <w:bottom w:val="none" w:sz="0" w:space="0" w:color="auto"/>
        <w:right w:val="none" w:sz="0" w:space="0" w:color="auto"/>
      </w:divBdr>
    </w:div>
    <w:div w:id="1970280720">
      <w:bodyDiv w:val="1"/>
      <w:marLeft w:val="0"/>
      <w:marRight w:val="0"/>
      <w:marTop w:val="0"/>
      <w:marBottom w:val="0"/>
      <w:divBdr>
        <w:top w:val="none" w:sz="0" w:space="0" w:color="auto"/>
        <w:left w:val="none" w:sz="0" w:space="0" w:color="auto"/>
        <w:bottom w:val="none" w:sz="0" w:space="0" w:color="auto"/>
        <w:right w:val="none" w:sz="0" w:space="0" w:color="auto"/>
      </w:divBdr>
    </w:div>
    <w:div w:id="1979649594">
      <w:bodyDiv w:val="1"/>
      <w:marLeft w:val="0"/>
      <w:marRight w:val="0"/>
      <w:marTop w:val="0"/>
      <w:marBottom w:val="0"/>
      <w:divBdr>
        <w:top w:val="none" w:sz="0" w:space="0" w:color="auto"/>
        <w:left w:val="none" w:sz="0" w:space="0" w:color="auto"/>
        <w:bottom w:val="none" w:sz="0" w:space="0" w:color="auto"/>
        <w:right w:val="none" w:sz="0" w:space="0" w:color="auto"/>
      </w:divBdr>
    </w:div>
    <w:div w:id="20149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D693B-9F8F-40E0-ABA3-030B72AA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13</cp:revision>
  <cp:lastPrinted>2017-11-21T08:51:00Z</cp:lastPrinted>
  <dcterms:created xsi:type="dcterms:W3CDTF">2017-11-20T19:48:00Z</dcterms:created>
  <dcterms:modified xsi:type="dcterms:W3CDTF">2017-11-21T11:02:00Z</dcterms:modified>
</cp:coreProperties>
</file>